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1282"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noProof/>
          <w:sz w:val="16"/>
          <w:szCs w:val="16"/>
          <w:bdr w:val="none" w:sz="0" w:space="0" w:color="auto" w:frame="1"/>
        </w:rPr>
        <w:drawing>
          <wp:inline distT="0" distB="0" distL="0" distR="0" wp14:anchorId="1C03F5AE" wp14:editId="5EF4D758">
            <wp:extent cx="1533525" cy="56197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35CACD3C"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sz w:val="16"/>
          <w:szCs w:val="16"/>
        </w:rPr>
        <w:t>Telki Község Önkormányzata</w:t>
      </w:r>
    </w:p>
    <w:p w14:paraId="40303FA1"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sz w:val="16"/>
          <w:szCs w:val="16"/>
        </w:rPr>
        <w:t>2089 Telki, Petőfi u.1.</w:t>
      </w:r>
    </w:p>
    <w:p w14:paraId="1605CC3F"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sz w:val="16"/>
          <w:szCs w:val="16"/>
        </w:rPr>
        <w:t>Telefon: (06) 26 920 80</w:t>
      </w:r>
      <w:r>
        <w:rPr>
          <w:rFonts w:ascii="Times New Roman" w:eastAsia="Times New Roman" w:hAnsi="Times New Roman" w:cs="Times New Roman"/>
          <w:sz w:val="16"/>
          <w:szCs w:val="16"/>
        </w:rPr>
        <w:t>1</w:t>
      </w:r>
    </w:p>
    <w:p w14:paraId="77794EAC"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sz w:val="16"/>
          <w:szCs w:val="16"/>
        </w:rPr>
        <w:t>E-</w:t>
      </w:r>
      <w:r>
        <w:rPr>
          <w:rFonts w:ascii="Times New Roman" w:eastAsia="Times New Roman" w:hAnsi="Times New Roman" w:cs="Times New Roman"/>
          <w:sz w:val="16"/>
          <w:szCs w:val="16"/>
        </w:rPr>
        <w:t>m</w:t>
      </w:r>
      <w:r w:rsidRPr="0090349D">
        <w:rPr>
          <w:rFonts w:ascii="Times New Roman" w:eastAsia="Times New Roman" w:hAnsi="Times New Roman" w:cs="Times New Roman"/>
          <w:sz w:val="16"/>
          <w:szCs w:val="16"/>
        </w:rPr>
        <w:t xml:space="preserve">ail: </w:t>
      </w:r>
      <w:hyperlink r:id="rId9" w:history="1">
        <w:r w:rsidRPr="0090349D">
          <w:rPr>
            <w:rFonts w:ascii="Times New Roman" w:eastAsia="Times New Roman" w:hAnsi="Times New Roman" w:cs="Times New Roman"/>
            <w:color w:val="0000FF"/>
            <w:sz w:val="16"/>
            <w:szCs w:val="16"/>
            <w:u w:val="single"/>
          </w:rPr>
          <w:t>hivatal@telki.hu</w:t>
        </w:r>
      </w:hyperlink>
    </w:p>
    <w:p w14:paraId="03CC08C2" w14:textId="77777777" w:rsidR="003A7805" w:rsidRPr="00EB1030" w:rsidRDefault="00C77CF8" w:rsidP="003A7805">
      <w:pPr>
        <w:spacing w:after="0"/>
        <w:rPr>
          <w:rFonts w:ascii="Times New Roman" w:eastAsia="Times New Roman" w:hAnsi="Times New Roman" w:cs="Times New Roman"/>
          <w:sz w:val="24"/>
          <w:szCs w:val="24"/>
        </w:rPr>
      </w:pPr>
      <w:hyperlink r:id="rId10" w:history="1">
        <w:r w:rsidR="003A7805" w:rsidRPr="0090349D">
          <w:rPr>
            <w:rFonts w:ascii="Times New Roman" w:eastAsia="Times New Roman" w:hAnsi="Times New Roman" w:cs="Times New Roman"/>
            <w:sz w:val="16"/>
            <w:szCs w:val="16"/>
            <w:u w:val="single"/>
          </w:rPr>
          <w:t>www.telki.hu</w:t>
        </w:r>
      </w:hyperlink>
    </w:p>
    <w:p w14:paraId="4578C016" w14:textId="77777777" w:rsidR="003A7805" w:rsidRPr="001530FD" w:rsidRDefault="003A7805" w:rsidP="003A7805">
      <w:pPr>
        <w:spacing w:after="0" w:line="240" w:lineRule="auto"/>
        <w:jc w:val="center"/>
        <w:rPr>
          <w:rFonts w:ascii="Times New Roman" w:hAnsi="Times New Roman" w:cs="Times New Roman"/>
          <w:b/>
          <w:bCs/>
        </w:rPr>
      </w:pPr>
      <w:r w:rsidRPr="001530FD">
        <w:rPr>
          <w:rFonts w:ascii="Times New Roman" w:hAnsi="Times New Roman" w:cs="Times New Roman"/>
          <w:b/>
          <w:bCs/>
        </w:rPr>
        <w:t xml:space="preserve">ELŐTERJESZTÉS </w:t>
      </w:r>
    </w:p>
    <w:p w14:paraId="446DDC04" w14:textId="729822D6" w:rsidR="003A7805" w:rsidRDefault="003A7805" w:rsidP="003A7805">
      <w:pPr>
        <w:spacing w:after="0" w:line="240" w:lineRule="auto"/>
        <w:jc w:val="center"/>
        <w:rPr>
          <w:rFonts w:ascii="Times New Roman" w:hAnsi="Times New Roman" w:cs="Times New Roman"/>
          <w:b/>
        </w:rPr>
      </w:pPr>
      <w:r w:rsidRPr="001530FD">
        <w:rPr>
          <w:rFonts w:ascii="Times New Roman" w:hAnsi="Times New Roman" w:cs="Times New Roman"/>
          <w:b/>
          <w:bCs/>
        </w:rPr>
        <w:t>A Képviselő-testület 202</w:t>
      </w:r>
      <w:r w:rsidR="00856F10">
        <w:rPr>
          <w:rFonts w:ascii="Times New Roman" w:hAnsi="Times New Roman" w:cs="Times New Roman"/>
          <w:b/>
          <w:bCs/>
        </w:rPr>
        <w:t>5</w:t>
      </w:r>
      <w:r w:rsidRPr="001530FD">
        <w:rPr>
          <w:rFonts w:ascii="Times New Roman" w:hAnsi="Times New Roman" w:cs="Times New Roman"/>
          <w:b/>
          <w:bCs/>
        </w:rPr>
        <w:t>.</w:t>
      </w:r>
      <w:r>
        <w:rPr>
          <w:rFonts w:ascii="Times New Roman" w:hAnsi="Times New Roman" w:cs="Times New Roman"/>
          <w:b/>
          <w:bCs/>
        </w:rPr>
        <w:t xml:space="preserve"> </w:t>
      </w:r>
      <w:r w:rsidR="00863021">
        <w:rPr>
          <w:rFonts w:ascii="Times New Roman" w:hAnsi="Times New Roman" w:cs="Times New Roman"/>
          <w:b/>
          <w:bCs/>
        </w:rPr>
        <w:t xml:space="preserve">november </w:t>
      </w:r>
      <w:r w:rsidR="00587C6B">
        <w:rPr>
          <w:rFonts w:ascii="Times New Roman" w:hAnsi="Times New Roman" w:cs="Times New Roman"/>
          <w:b/>
          <w:bCs/>
        </w:rPr>
        <w:t>24</w:t>
      </w:r>
      <w:r w:rsidRPr="001530FD">
        <w:rPr>
          <w:rFonts w:ascii="Times New Roman" w:hAnsi="Times New Roman" w:cs="Times New Roman"/>
          <w:b/>
          <w:bCs/>
        </w:rPr>
        <w:t>-i rend</w:t>
      </w:r>
      <w:r>
        <w:rPr>
          <w:rFonts w:ascii="Times New Roman" w:hAnsi="Times New Roman" w:cs="Times New Roman"/>
          <w:b/>
          <w:bCs/>
        </w:rPr>
        <w:t>es</w:t>
      </w:r>
      <w:r w:rsidRPr="001530FD">
        <w:rPr>
          <w:rFonts w:ascii="Times New Roman" w:hAnsi="Times New Roman" w:cs="Times New Roman"/>
          <w:b/>
          <w:bCs/>
        </w:rPr>
        <w:t xml:space="preserve"> ülésére </w:t>
      </w:r>
      <w:r>
        <w:rPr>
          <w:rFonts w:ascii="Times New Roman" w:hAnsi="Times New Roman" w:cs="Times New Roman"/>
          <w:b/>
        </w:rPr>
        <w:t xml:space="preserve">                  </w:t>
      </w:r>
    </w:p>
    <w:p w14:paraId="459E5EFE" w14:textId="77777777" w:rsidR="003A7805" w:rsidRPr="0028612E" w:rsidRDefault="003A7805" w:rsidP="003A7805">
      <w:pPr>
        <w:spacing w:after="0" w:line="240" w:lineRule="auto"/>
        <w:jc w:val="center"/>
        <w:rPr>
          <w:rFonts w:ascii="Times New Roman" w:hAnsi="Times New Roman" w:cs="Times New Roman"/>
          <w:b/>
          <w:bCs/>
        </w:rPr>
      </w:pPr>
    </w:p>
    <w:tbl>
      <w:tblPr>
        <w:tblStyle w:val="Rcsostblzat"/>
        <w:tblW w:w="0" w:type="auto"/>
        <w:tblLook w:val="04A0" w:firstRow="1" w:lastRow="0" w:firstColumn="1" w:lastColumn="0" w:noHBand="0" w:noVBand="1"/>
      </w:tblPr>
      <w:tblGrid>
        <w:gridCol w:w="9204"/>
      </w:tblGrid>
      <w:tr w:rsidR="00D826ED" w14:paraId="57AF82F6" w14:textId="77777777" w:rsidTr="00D826ED">
        <w:tc>
          <w:tcPr>
            <w:tcW w:w="10456" w:type="dxa"/>
          </w:tcPr>
          <w:p w14:paraId="752A0DCE" w14:textId="77777777" w:rsidR="00D826ED" w:rsidRDefault="00D826ED" w:rsidP="003A7805">
            <w:pPr>
              <w:jc w:val="center"/>
              <w:rPr>
                <w:rFonts w:ascii="Times New Roman" w:hAnsi="Times New Roman" w:cs="Times New Roman"/>
                <w:b/>
                <w:bCs/>
              </w:rPr>
            </w:pPr>
            <w:r>
              <w:rPr>
                <w:rFonts w:ascii="Times New Roman" w:hAnsi="Times New Roman" w:cs="Times New Roman"/>
                <w:b/>
                <w:bCs/>
              </w:rPr>
              <w:t>Tárgyalandó napirend:</w:t>
            </w:r>
          </w:p>
          <w:p w14:paraId="4DEF5BDC" w14:textId="1AAD4A50" w:rsidR="00D826ED" w:rsidRDefault="000201B2" w:rsidP="003A7805">
            <w:pPr>
              <w:jc w:val="center"/>
              <w:rPr>
                <w:rFonts w:ascii="Times New Roman" w:hAnsi="Times New Roman" w:cs="Times New Roman"/>
                <w:b/>
                <w:bCs/>
              </w:rPr>
            </w:pPr>
            <w:r>
              <w:rPr>
                <w:rFonts w:ascii="Times New Roman" w:hAnsi="Times New Roman" w:cs="Times New Roman"/>
                <w:b/>
                <w:bCs/>
              </w:rPr>
              <w:t>Telekadó rendelet módosítása</w:t>
            </w:r>
          </w:p>
          <w:p w14:paraId="3888158D" w14:textId="7F337C07" w:rsidR="00094647" w:rsidRDefault="00094647" w:rsidP="003A7805">
            <w:pPr>
              <w:jc w:val="center"/>
              <w:rPr>
                <w:rFonts w:ascii="Times New Roman" w:hAnsi="Times New Roman" w:cs="Times New Roman"/>
                <w:b/>
                <w:bCs/>
              </w:rPr>
            </w:pPr>
          </w:p>
        </w:tc>
      </w:tr>
    </w:tbl>
    <w:p w14:paraId="19FED272" w14:textId="77777777" w:rsidR="00D826ED" w:rsidRDefault="00D826ED" w:rsidP="003A7805">
      <w:pPr>
        <w:spacing w:after="0" w:line="240" w:lineRule="auto"/>
        <w:jc w:val="both"/>
        <w:rPr>
          <w:rFonts w:ascii="Times New Roman" w:hAnsi="Times New Roman" w:cs="Times New Roman"/>
          <w:b/>
          <w:bCs/>
        </w:rPr>
      </w:pPr>
    </w:p>
    <w:p w14:paraId="6E576F40" w14:textId="64856109"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napirendet tárgyaló ülés dátuma</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rPr>
        <w:t>202</w:t>
      </w:r>
      <w:r w:rsidR="00CA3B6F">
        <w:rPr>
          <w:rFonts w:ascii="Times New Roman" w:hAnsi="Times New Roman" w:cs="Times New Roman"/>
          <w:b/>
          <w:bCs/>
        </w:rPr>
        <w:t>5.</w:t>
      </w:r>
      <w:r w:rsidR="008F7B4E">
        <w:rPr>
          <w:rFonts w:ascii="Times New Roman" w:hAnsi="Times New Roman" w:cs="Times New Roman"/>
          <w:b/>
          <w:bCs/>
        </w:rPr>
        <w:t>1</w:t>
      </w:r>
      <w:r w:rsidR="00863021">
        <w:rPr>
          <w:rFonts w:ascii="Times New Roman" w:hAnsi="Times New Roman" w:cs="Times New Roman"/>
          <w:b/>
          <w:bCs/>
        </w:rPr>
        <w:t>1.</w:t>
      </w:r>
      <w:r w:rsidR="00587C6B">
        <w:rPr>
          <w:rFonts w:ascii="Times New Roman" w:hAnsi="Times New Roman" w:cs="Times New Roman"/>
          <w:b/>
          <w:bCs/>
        </w:rPr>
        <w:t>24</w:t>
      </w:r>
      <w:r w:rsidR="008F7B4E">
        <w:rPr>
          <w:rFonts w:ascii="Times New Roman" w:hAnsi="Times New Roman" w:cs="Times New Roman"/>
          <w:b/>
          <w:bCs/>
        </w:rPr>
        <w:t>.</w:t>
      </w:r>
      <w:r w:rsidRPr="002E24B5">
        <w:rPr>
          <w:rFonts w:ascii="Times New Roman" w:hAnsi="Times New Roman" w:cs="Times New Roman"/>
        </w:rPr>
        <w:t xml:space="preserve"> </w:t>
      </w:r>
    </w:p>
    <w:p w14:paraId="2B53EA74" w14:textId="2327C295" w:rsidR="003A7805" w:rsidRPr="002E24B5" w:rsidRDefault="003A7805" w:rsidP="003A7805">
      <w:pPr>
        <w:spacing w:after="0" w:line="240" w:lineRule="auto"/>
        <w:ind w:left="4950" w:hanging="4950"/>
        <w:jc w:val="both"/>
        <w:rPr>
          <w:rFonts w:ascii="Times New Roman" w:hAnsi="Times New Roman" w:cs="Times New Roman"/>
        </w:rPr>
      </w:pPr>
      <w:r w:rsidRPr="002E24B5">
        <w:rPr>
          <w:rFonts w:ascii="Times New Roman" w:hAnsi="Times New Roman" w:cs="Times New Roman"/>
          <w:b/>
          <w:bCs/>
        </w:rPr>
        <w:t>A napirendet tárgyaló ülés:</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b/>
          <w:bCs/>
        </w:rPr>
        <w:t>Képviselő-testület</w:t>
      </w:r>
      <w:r w:rsidRPr="002E24B5">
        <w:rPr>
          <w:rFonts w:ascii="Times New Roman" w:hAnsi="Times New Roman" w:cs="Times New Roman"/>
        </w:rPr>
        <w:t xml:space="preserve"> </w:t>
      </w:r>
    </w:p>
    <w:p w14:paraId="4D5635E3" w14:textId="77777777" w:rsidR="003A7805" w:rsidRPr="002E24B5" w:rsidRDefault="003A7805" w:rsidP="003A7805">
      <w:pPr>
        <w:spacing w:after="0" w:line="240" w:lineRule="auto"/>
        <w:jc w:val="both"/>
        <w:rPr>
          <w:rFonts w:ascii="Times New Roman" w:hAnsi="Times New Roman" w:cs="Times New Roman"/>
          <w:b/>
          <w:bCs/>
        </w:rPr>
      </w:pPr>
      <w:r w:rsidRPr="002E24B5">
        <w:rPr>
          <w:rFonts w:ascii="Times New Roman" w:hAnsi="Times New Roman" w:cs="Times New Roman"/>
          <w:b/>
          <w:bCs/>
        </w:rPr>
        <w:t>Előterjesztő:</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rPr>
        <w:t>Deltai Károly polgármester</w:t>
      </w:r>
    </w:p>
    <w:p w14:paraId="7F5E25D2"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Az előterjesztést készítette:</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rPr>
        <w:t xml:space="preserve">dr. </w:t>
      </w:r>
      <w:proofErr w:type="spellStart"/>
      <w:r w:rsidRPr="002E24B5">
        <w:rPr>
          <w:rFonts w:ascii="Times New Roman" w:hAnsi="Times New Roman" w:cs="Times New Roman"/>
          <w:b/>
          <w:bCs/>
        </w:rPr>
        <w:t>Lack</w:t>
      </w:r>
      <w:proofErr w:type="spellEnd"/>
      <w:r w:rsidRPr="002E24B5">
        <w:rPr>
          <w:rFonts w:ascii="Times New Roman" w:hAnsi="Times New Roman" w:cs="Times New Roman"/>
          <w:b/>
          <w:bCs/>
        </w:rPr>
        <w:t xml:space="preserve"> Mónika jegyző</w:t>
      </w:r>
      <w:r w:rsidRPr="002E24B5">
        <w:rPr>
          <w:rFonts w:ascii="Times New Roman" w:hAnsi="Times New Roman" w:cs="Times New Roman"/>
        </w:rPr>
        <w:tab/>
      </w:r>
      <w:r w:rsidRPr="002E24B5">
        <w:rPr>
          <w:rFonts w:ascii="Times New Roman" w:hAnsi="Times New Roman" w:cs="Times New Roman"/>
        </w:rPr>
        <w:tab/>
        <w:t xml:space="preserve"> </w:t>
      </w:r>
    </w:p>
    <w:p w14:paraId="59DDD9C1"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napirendet tárgyaló ülés típusa:</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u w:val="single"/>
        </w:rPr>
        <w:t>nyílt</w:t>
      </w:r>
      <w:r w:rsidRPr="002E24B5">
        <w:rPr>
          <w:rFonts w:ascii="Times New Roman" w:hAnsi="Times New Roman" w:cs="Times New Roman"/>
        </w:rPr>
        <w:t xml:space="preserve"> / zárt </w:t>
      </w:r>
    </w:p>
    <w:p w14:paraId="2EF7B3AE"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napirendet tárgyaló ülés típusa:</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F33374">
        <w:rPr>
          <w:rFonts w:ascii="Times New Roman" w:hAnsi="Times New Roman" w:cs="Times New Roman"/>
          <w:b/>
          <w:bCs/>
          <w:u w:val="single"/>
        </w:rPr>
        <w:t>rendes</w:t>
      </w:r>
      <w:r w:rsidRPr="002E24B5">
        <w:rPr>
          <w:rFonts w:ascii="Times New Roman" w:hAnsi="Times New Roman" w:cs="Times New Roman"/>
          <w:b/>
          <w:bCs/>
          <w:u w:val="single"/>
        </w:rPr>
        <w:t xml:space="preserve"> /</w:t>
      </w:r>
      <w:r w:rsidRPr="002E24B5">
        <w:rPr>
          <w:rFonts w:ascii="Times New Roman" w:hAnsi="Times New Roman" w:cs="Times New Roman"/>
        </w:rPr>
        <w:t xml:space="preserve"> </w:t>
      </w:r>
      <w:r w:rsidRPr="00F33374">
        <w:rPr>
          <w:rFonts w:ascii="Times New Roman" w:hAnsi="Times New Roman" w:cs="Times New Roman"/>
        </w:rPr>
        <w:t>rendkívüli</w:t>
      </w:r>
    </w:p>
    <w:p w14:paraId="6FB4E9A2"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határozat elfogadásához szükséges többség típusát:</w:t>
      </w:r>
      <w:r w:rsidRPr="002E24B5">
        <w:rPr>
          <w:rFonts w:ascii="Times New Roman" w:hAnsi="Times New Roman" w:cs="Times New Roman"/>
        </w:rPr>
        <w:t xml:space="preserve"> </w:t>
      </w:r>
      <w:r w:rsidRPr="008F7B4E">
        <w:rPr>
          <w:rFonts w:ascii="Times New Roman" w:hAnsi="Times New Roman" w:cs="Times New Roman"/>
        </w:rPr>
        <w:t>egyszerű</w:t>
      </w:r>
      <w:r w:rsidRPr="002E24B5">
        <w:rPr>
          <w:rFonts w:ascii="Times New Roman" w:hAnsi="Times New Roman" w:cs="Times New Roman"/>
        </w:rPr>
        <w:t xml:space="preserve"> /</w:t>
      </w:r>
      <w:r w:rsidRPr="008F7B4E">
        <w:rPr>
          <w:rFonts w:ascii="Times New Roman" w:hAnsi="Times New Roman" w:cs="Times New Roman"/>
          <w:b/>
          <w:bCs/>
          <w:u w:val="single"/>
        </w:rPr>
        <w:t xml:space="preserve"> minősített</w:t>
      </w:r>
      <w:r w:rsidRPr="00856F10">
        <w:rPr>
          <w:rFonts w:ascii="Times New Roman" w:hAnsi="Times New Roman" w:cs="Times New Roman"/>
        </w:rPr>
        <w:t xml:space="preserve"> </w:t>
      </w:r>
    </w:p>
    <w:p w14:paraId="0A73DA60"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szavazás módja:</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u w:val="single"/>
        </w:rPr>
        <w:t>nyílt</w:t>
      </w:r>
      <w:r w:rsidRPr="002E24B5">
        <w:rPr>
          <w:rFonts w:ascii="Times New Roman" w:hAnsi="Times New Roman" w:cs="Times New Roman"/>
        </w:rPr>
        <w:t xml:space="preserve"> / titkos </w:t>
      </w:r>
    </w:p>
    <w:p w14:paraId="198D455B" w14:textId="77777777" w:rsidR="003A7805" w:rsidRPr="00820DF7" w:rsidRDefault="003A7805" w:rsidP="003A7805">
      <w:pPr>
        <w:spacing w:after="0"/>
        <w:rPr>
          <w:rFonts w:ascii="Times New Roman" w:hAnsi="Times New Roman" w:cs="Times New Roman"/>
        </w:rPr>
      </w:pPr>
    </w:p>
    <w:p w14:paraId="33BE4026" w14:textId="77777777" w:rsidR="007E6E2B" w:rsidRDefault="003A7805" w:rsidP="003A7805">
      <w:pPr>
        <w:jc w:val="both"/>
        <w:rPr>
          <w:rFonts w:ascii="Times New Roman" w:hAnsi="Times New Roman" w:cs="Times New Roman"/>
          <w:b/>
        </w:rPr>
      </w:pPr>
      <w:r w:rsidRPr="00820DF7">
        <w:rPr>
          <w:rFonts w:ascii="Times New Roman" w:hAnsi="Times New Roman" w:cs="Times New Roman"/>
          <w:b/>
        </w:rPr>
        <w:t>1.E</w:t>
      </w:r>
      <w:r w:rsidR="00632653">
        <w:rPr>
          <w:rFonts w:ascii="Times New Roman" w:hAnsi="Times New Roman" w:cs="Times New Roman"/>
          <w:b/>
        </w:rPr>
        <w:t xml:space="preserve">LŐZMÉNYEK, KÜLÖNÖSEN AZ ADOTT TÁRGYKÖRBEN HOZOTT KORÁBBI TESTÜLETI DÖNTÉSEK ÉS AZOK VÉGREHAJTÁSÁNAK ÁLLÁSA: </w:t>
      </w:r>
    </w:p>
    <w:p w14:paraId="5BAA7B8A" w14:textId="0743E932" w:rsidR="003A7805" w:rsidRPr="00820DF7" w:rsidRDefault="007E6E2B" w:rsidP="003A7805">
      <w:pPr>
        <w:jc w:val="both"/>
        <w:rPr>
          <w:rFonts w:ascii="Times New Roman" w:hAnsi="Times New Roman" w:cs="Times New Roman"/>
          <w:b/>
        </w:rPr>
      </w:pPr>
      <w:r>
        <w:rPr>
          <w:rFonts w:ascii="Times New Roman" w:hAnsi="Times New Roman" w:cs="Times New Roman"/>
          <w:b/>
        </w:rPr>
        <w:t xml:space="preserve">- </w:t>
      </w:r>
      <w:r w:rsidR="002D2FAD" w:rsidRPr="00AC4FE7">
        <w:rPr>
          <w:rFonts w:ascii="Times New Roman" w:hAnsi="Times New Roman" w:cs="Times New Roman"/>
        </w:rPr>
        <w:t>132 /2025.(IX.29.) önkormányzati határozat</w:t>
      </w:r>
    </w:p>
    <w:p w14:paraId="365241EA" w14:textId="72F567BF" w:rsidR="003A7805" w:rsidRDefault="003A7805" w:rsidP="003A7805">
      <w:pPr>
        <w:jc w:val="both"/>
        <w:rPr>
          <w:rFonts w:ascii="Times New Roman" w:hAnsi="Times New Roman" w:cs="Times New Roman"/>
        </w:rPr>
      </w:pPr>
      <w:r w:rsidRPr="00820DF7">
        <w:rPr>
          <w:rFonts w:ascii="Times New Roman" w:hAnsi="Times New Roman" w:cs="Times New Roman"/>
          <w:b/>
        </w:rPr>
        <w:t>2. J</w:t>
      </w:r>
      <w:r w:rsidR="00AD3191">
        <w:rPr>
          <w:rFonts w:ascii="Times New Roman" w:hAnsi="Times New Roman" w:cs="Times New Roman"/>
          <w:b/>
        </w:rPr>
        <w:t>OGSZABÁLYI HIVATKOZÁSOK</w:t>
      </w:r>
      <w:r w:rsidRPr="00820DF7">
        <w:rPr>
          <w:rFonts w:ascii="Times New Roman" w:hAnsi="Times New Roman" w:cs="Times New Roman"/>
        </w:rPr>
        <w:t>:</w:t>
      </w:r>
      <w:r>
        <w:rPr>
          <w:rFonts w:ascii="Times New Roman" w:hAnsi="Times New Roman" w:cs="Times New Roman"/>
        </w:rPr>
        <w:t xml:space="preserve"> </w:t>
      </w:r>
    </w:p>
    <w:p w14:paraId="0CB76D40" w14:textId="7D2D14A6" w:rsidR="003A7805" w:rsidRDefault="00FD4234" w:rsidP="003A7805">
      <w:pPr>
        <w:spacing w:after="0"/>
        <w:jc w:val="both"/>
        <w:rPr>
          <w:rFonts w:ascii="Times New Roman" w:hAnsi="Times New Roman" w:cs="Times New Roman"/>
        </w:rPr>
      </w:pPr>
      <w:r>
        <w:rPr>
          <w:rFonts w:ascii="Times New Roman" w:hAnsi="Times New Roman" w:cs="Times New Roman"/>
        </w:rPr>
        <w:t xml:space="preserve">- </w:t>
      </w:r>
      <w:r w:rsidR="003A7805">
        <w:rPr>
          <w:rFonts w:ascii="Times New Roman" w:hAnsi="Times New Roman" w:cs="Times New Roman"/>
        </w:rPr>
        <w:t>A</w:t>
      </w:r>
      <w:r w:rsidR="003A7805" w:rsidRPr="00820DF7">
        <w:rPr>
          <w:rFonts w:ascii="Times New Roman" w:hAnsi="Times New Roman" w:cs="Times New Roman"/>
        </w:rPr>
        <w:t xml:space="preserve"> </w:t>
      </w:r>
      <w:r w:rsidR="003A7805" w:rsidRPr="003368BD">
        <w:rPr>
          <w:rFonts w:ascii="Times New Roman" w:hAnsi="Times New Roman" w:cs="Times New Roman"/>
        </w:rPr>
        <w:t>helyi adókról szóló 1990. évi C. törvény</w:t>
      </w:r>
    </w:p>
    <w:p w14:paraId="73E6EF69" w14:textId="0AE48E20" w:rsidR="003A7805" w:rsidRDefault="00FD4234" w:rsidP="003A7805">
      <w:pPr>
        <w:spacing w:after="0"/>
        <w:jc w:val="both"/>
        <w:rPr>
          <w:rFonts w:ascii="Times New Roman" w:hAnsi="Times New Roman" w:cs="Times New Roman"/>
        </w:rPr>
      </w:pPr>
      <w:r>
        <w:rPr>
          <w:rFonts w:ascii="Times New Roman" w:hAnsi="Times New Roman" w:cs="Times New Roman"/>
        </w:rPr>
        <w:t>- Az a</w:t>
      </w:r>
      <w:r w:rsidR="003A7805" w:rsidRPr="003368BD">
        <w:rPr>
          <w:rFonts w:ascii="Times New Roman" w:hAnsi="Times New Roman" w:cs="Times New Roman"/>
        </w:rPr>
        <w:t>dózás eljárási kérdéseit az adózás rendjéről szóló 2017. évi CL. törvé</w:t>
      </w:r>
      <w:r w:rsidR="003A7805">
        <w:rPr>
          <w:rFonts w:ascii="Times New Roman" w:hAnsi="Times New Roman" w:cs="Times New Roman"/>
        </w:rPr>
        <w:t xml:space="preserve">ny </w:t>
      </w:r>
    </w:p>
    <w:p w14:paraId="7D7B9410" w14:textId="6641BD90" w:rsidR="003A7805" w:rsidRDefault="00FD4234" w:rsidP="003A7805">
      <w:pPr>
        <w:spacing w:after="0"/>
        <w:jc w:val="both"/>
        <w:rPr>
          <w:rFonts w:ascii="Times New Roman" w:hAnsi="Times New Roman" w:cs="Times New Roman"/>
        </w:rPr>
      </w:pPr>
      <w:r>
        <w:rPr>
          <w:rFonts w:ascii="Times New Roman" w:hAnsi="Times New Roman" w:cs="Times New Roman"/>
        </w:rPr>
        <w:t xml:space="preserve">- </w:t>
      </w:r>
      <w:r w:rsidR="003A7805" w:rsidRPr="003368BD">
        <w:rPr>
          <w:rFonts w:ascii="Times New Roman" w:hAnsi="Times New Roman" w:cs="Times New Roman"/>
        </w:rPr>
        <w:t>Magyarország gazdasági stabilitásáról szóló 2011. évi CXCIV. törvény</w:t>
      </w:r>
    </w:p>
    <w:p w14:paraId="031223E5" w14:textId="74D2BD5C" w:rsidR="00100585" w:rsidRPr="00820DF7" w:rsidRDefault="00100585" w:rsidP="003A7805">
      <w:pPr>
        <w:spacing w:after="0"/>
        <w:jc w:val="both"/>
        <w:rPr>
          <w:rFonts w:ascii="Times New Roman" w:hAnsi="Times New Roman" w:cs="Times New Roman"/>
        </w:rPr>
      </w:pPr>
      <w:r>
        <w:rPr>
          <w:rFonts w:ascii="Times New Roman" w:hAnsi="Times New Roman" w:cs="Times New Roman"/>
        </w:rPr>
        <w:t xml:space="preserve">- </w:t>
      </w:r>
      <w:r w:rsidRPr="00100585">
        <w:rPr>
          <w:rFonts w:ascii="Times New Roman" w:hAnsi="Times New Roman" w:cs="Times New Roman"/>
        </w:rPr>
        <w:t xml:space="preserve">Telki Község Önkormányzata Képviselő-testületének a telekadóról szóló 18/2022. (XI. 15.) önkormányzati rendelet </w:t>
      </w:r>
    </w:p>
    <w:p w14:paraId="08EC3303" w14:textId="77777777" w:rsidR="003A7805" w:rsidRDefault="003A7805" w:rsidP="003A7805">
      <w:pPr>
        <w:spacing w:after="0"/>
        <w:jc w:val="both"/>
        <w:rPr>
          <w:rFonts w:ascii="Times New Roman" w:hAnsi="Times New Roman" w:cs="Times New Roman"/>
          <w:b/>
        </w:rPr>
      </w:pPr>
    </w:p>
    <w:p w14:paraId="7A6EA43B" w14:textId="27D515BC" w:rsidR="00632653" w:rsidRDefault="003A7805" w:rsidP="003A7805">
      <w:pPr>
        <w:spacing w:after="0"/>
        <w:jc w:val="both"/>
        <w:rPr>
          <w:rFonts w:ascii="Times New Roman" w:hAnsi="Times New Roman" w:cs="Times New Roman"/>
          <w:b/>
        </w:rPr>
      </w:pPr>
      <w:r w:rsidRPr="002E6E74">
        <w:rPr>
          <w:rFonts w:ascii="Times New Roman" w:hAnsi="Times New Roman" w:cs="Times New Roman"/>
          <w:b/>
        </w:rPr>
        <w:t>3.K</w:t>
      </w:r>
      <w:r w:rsidR="00AD3191">
        <w:rPr>
          <w:rFonts w:ascii="Times New Roman" w:hAnsi="Times New Roman" w:cs="Times New Roman"/>
          <w:b/>
        </w:rPr>
        <w:t>ÖLTSÉGKIHATÁSOK ÉS EGYÉB SZÜKSÉGES FELTÉTELEK, ILLETVE MEGTEREMTÉSÜK</w:t>
      </w:r>
      <w:r w:rsidR="00632653">
        <w:rPr>
          <w:rFonts w:ascii="Times New Roman" w:hAnsi="Times New Roman" w:cs="Times New Roman"/>
          <w:b/>
        </w:rPr>
        <w:t xml:space="preserve"> JAVASOLT FORRÁSAI:</w:t>
      </w:r>
      <w:r w:rsidR="002D2FAD">
        <w:rPr>
          <w:rFonts w:ascii="Times New Roman" w:hAnsi="Times New Roman" w:cs="Times New Roman"/>
          <w:b/>
        </w:rPr>
        <w:t xml:space="preserve"> </w:t>
      </w:r>
    </w:p>
    <w:p w14:paraId="504700C4" w14:textId="77777777" w:rsidR="003A7805" w:rsidRPr="00820DF7" w:rsidRDefault="003A7805" w:rsidP="003A7805">
      <w:pPr>
        <w:spacing w:after="0"/>
        <w:jc w:val="both"/>
        <w:rPr>
          <w:rFonts w:ascii="Times New Roman" w:hAnsi="Times New Roman" w:cs="Times New Roman"/>
          <w:b/>
        </w:rPr>
      </w:pPr>
    </w:p>
    <w:p w14:paraId="4EF52FE6" w14:textId="2350FDF9" w:rsidR="003A7805" w:rsidRPr="00820DF7" w:rsidRDefault="003A7805" w:rsidP="003A7805">
      <w:pPr>
        <w:spacing w:after="0"/>
        <w:jc w:val="both"/>
        <w:rPr>
          <w:rFonts w:ascii="Times New Roman" w:hAnsi="Times New Roman" w:cs="Times New Roman"/>
          <w:b/>
        </w:rPr>
      </w:pPr>
      <w:r w:rsidRPr="00820DF7">
        <w:rPr>
          <w:rFonts w:ascii="Times New Roman" w:hAnsi="Times New Roman" w:cs="Times New Roman"/>
          <w:b/>
        </w:rPr>
        <w:t>4. T</w:t>
      </w:r>
      <w:r w:rsidR="00AD3191">
        <w:rPr>
          <w:rFonts w:ascii="Times New Roman" w:hAnsi="Times New Roman" w:cs="Times New Roman"/>
          <w:b/>
        </w:rPr>
        <w:t>ÉNYÁLLÁS BEMUTATÁSA</w:t>
      </w:r>
      <w:r w:rsidRPr="00820DF7">
        <w:rPr>
          <w:rFonts w:ascii="Times New Roman" w:hAnsi="Times New Roman" w:cs="Times New Roman"/>
          <w:b/>
        </w:rPr>
        <w:t xml:space="preserve">: </w:t>
      </w:r>
    </w:p>
    <w:p w14:paraId="2F3B7C72" w14:textId="77777777" w:rsidR="003A7805" w:rsidRDefault="003A7805" w:rsidP="003A7805">
      <w:pPr>
        <w:spacing w:after="0"/>
        <w:ind w:right="4"/>
        <w:jc w:val="both"/>
        <w:rPr>
          <w:rFonts w:ascii="Times New Roman" w:hAnsi="Times New Roman" w:cs="Times New Roman"/>
        </w:rPr>
      </w:pPr>
    </w:p>
    <w:p w14:paraId="12A27202" w14:textId="77777777" w:rsidR="002D2FAD" w:rsidRDefault="00005BDE" w:rsidP="00005BDE">
      <w:pPr>
        <w:spacing w:after="225" w:line="216" w:lineRule="auto"/>
        <w:ind w:left="24" w:right="14" w:hanging="10"/>
        <w:jc w:val="both"/>
        <w:rPr>
          <w:rFonts w:ascii="Times New Roman" w:hAnsi="Times New Roman" w:cs="Times New Roman"/>
        </w:rPr>
      </w:pPr>
      <w:r>
        <w:rPr>
          <w:rFonts w:ascii="Times New Roman" w:hAnsi="Times New Roman" w:cs="Times New Roman"/>
        </w:rPr>
        <w:t>A</w:t>
      </w:r>
      <w:r w:rsidR="00B455C0" w:rsidRPr="00B455C0">
        <w:rPr>
          <w:rFonts w:ascii="Times New Roman" w:hAnsi="Times New Roman" w:cs="Times New Roman"/>
        </w:rPr>
        <w:t xml:space="preserve"> Képviselő-testület </w:t>
      </w:r>
      <w:r>
        <w:rPr>
          <w:rFonts w:ascii="Times New Roman" w:hAnsi="Times New Roman" w:cs="Times New Roman"/>
        </w:rPr>
        <w:t>a</w:t>
      </w:r>
      <w:r w:rsidR="00CF629B" w:rsidRPr="00AC4FE7">
        <w:rPr>
          <w:rFonts w:ascii="Times New Roman" w:hAnsi="Times New Roman" w:cs="Times New Roman"/>
        </w:rPr>
        <w:t xml:space="preserve">z </w:t>
      </w:r>
      <w:r w:rsidR="00877AE8" w:rsidRPr="00AC4FE7">
        <w:rPr>
          <w:rFonts w:ascii="Times New Roman" w:hAnsi="Times New Roman" w:cs="Times New Roman"/>
        </w:rPr>
        <w:t xml:space="preserve">előzetes </w:t>
      </w:r>
      <w:r w:rsidR="00CF629B" w:rsidRPr="00AC4FE7">
        <w:rPr>
          <w:rFonts w:ascii="Times New Roman" w:hAnsi="Times New Roman" w:cs="Times New Roman"/>
        </w:rPr>
        <w:t>egyeztetések</w:t>
      </w:r>
      <w:r w:rsidR="00877AE8" w:rsidRPr="00AC4FE7">
        <w:rPr>
          <w:rFonts w:ascii="Times New Roman" w:hAnsi="Times New Roman" w:cs="Times New Roman"/>
        </w:rPr>
        <w:t xml:space="preserve">, tárgyalások alapján </w:t>
      </w:r>
      <w:r w:rsidR="002D2FAD">
        <w:rPr>
          <w:rFonts w:ascii="Times New Roman" w:hAnsi="Times New Roman" w:cs="Times New Roman"/>
        </w:rPr>
        <w:t xml:space="preserve">a </w:t>
      </w:r>
      <w:r w:rsidR="00877AE8" w:rsidRPr="00AC4FE7">
        <w:rPr>
          <w:rFonts w:ascii="Times New Roman" w:hAnsi="Times New Roman" w:cs="Times New Roman"/>
        </w:rPr>
        <w:t xml:space="preserve">132 /2025.(IX.29.) önkormányzati határozatával úgy határozott, hogy a telekadóról szóló 18/2022.(XI.15.) önkormányzati rendeletét </w:t>
      </w:r>
      <w:r w:rsidR="002D2FAD" w:rsidRPr="002D2FAD">
        <w:rPr>
          <w:rFonts w:ascii="Times New Roman" w:hAnsi="Times New Roman" w:cs="Times New Roman"/>
        </w:rPr>
        <w:t>(továbbiakban: Rendelet)</w:t>
      </w:r>
      <w:r w:rsidR="002D2FAD">
        <w:rPr>
          <w:rFonts w:ascii="Times New Roman" w:hAnsi="Times New Roman" w:cs="Times New Roman"/>
        </w:rPr>
        <w:t xml:space="preserve"> </w:t>
      </w:r>
      <w:r w:rsidR="00877AE8" w:rsidRPr="00AC4FE7">
        <w:rPr>
          <w:rFonts w:ascii="Times New Roman" w:hAnsi="Times New Roman" w:cs="Times New Roman"/>
        </w:rPr>
        <w:t xml:space="preserve">módosítani kívánja. </w:t>
      </w:r>
    </w:p>
    <w:p w14:paraId="6C358D14" w14:textId="506F0F5C" w:rsidR="007E6E2B" w:rsidRDefault="00005BDE" w:rsidP="007E6E2B">
      <w:pPr>
        <w:spacing w:after="225" w:line="216" w:lineRule="auto"/>
        <w:ind w:left="24" w:right="14" w:hanging="10"/>
        <w:jc w:val="both"/>
        <w:rPr>
          <w:rFonts w:ascii="Times New Roman" w:hAnsi="Times New Roman" w:cs="Times New Roman"/>
        </w:rPr>
      </w:pPr>
      <w:r>
        <w:rPr>
          <w:rFonts w:ascii="Times New Roman" w:hAnsi="Times New Roman" w:cs="Times New Roman"/>
        </w:rPr>
        <w:t xml:space="preserve">A </w:t>
      </w:r>
      <w:r w:rsidRPr="00BF00D4">
        <w:rPr>
          <w:rFonts w:ascii="Times New Roman" w:hAnsi="Times New Roman" w:cs="Times New Roman"/>
        </w:rPr>
        <w:t>Pénzügyi, Településfejlesztési és Fenntarthatósági Bizottság</w:t>
      </w:r>
      <w:r>
        <w:rPr>
          <w:rFonts w:ascii="Times New Roman" w:hAnsi="Times New Roman" w:cs="Times New Roman"/>
        </w:rPr>
        <w:t xml:space="preserve"> </w:t>
      </w:r>
      <w:r w:rsidR="002D2FAD">
        <w:rPr>
          <w:rFonts w:ascii="Times New Roman" w:hAnsi="Times New Roman" w:cs="Times New Roman"/>
        </w:rPr>
        <w:t xml:space="preserve">2025. </w:t>
      </w:r>
      <w:r>
        <w:rPr>
          <w:rFonts w:ascii="Times New Roman" w:hAnsi="Times New Roman" w:cs="Times New Roman"/>
        </w:rPr>
        <w:t>november 17-ei ülésén hozott állásfoglalás</w:t>
      </w:r>
      <w:r w:rsidR="00A0223B">
        <w:rPr>
          <w:rFonts w:ascii="Times New Roman" w:hAnsi="Times New Roman" w:cs="Times New Roman"/>
        </w:rPr>
        <w:t>ában foglalt javaslat alapján</w:t>
      </w:r>
      <w:r>
        <w:rPr>
          <w:rFonts w:ascii="Times New Roman" w:hAnsi="Times New Roman" w:cs="Times New Roman"/>
        </w:rPr>
        <w:t xml:space="preserve"> a 2. övezet adó</w:t>
      </w:r>
      <w:r w:rsidR="00A0223B">
        <w:rPr>
          <w:rFonts w:ascii="Times New Roman" w:hAnsi="Times New Roman" w:cs="Times New Roman"/>
        </w:rPr>
        <w:t xml:space="preserve"> mérték </w:t>
      </w:r>
      <w:r>
        <w:rPr>
          <w:rFonts w:ascii="Times New Roman" w:hAnsi="Times New Roman" w:cs="Times New Roman"/>
        </w:rPr>
        <w:t>220 Ft/m2/év -</w:t>
      </w:r>
      <w:proofErr w:type="spellStart"/>
      <w:r>
        <w:rPr>
          <w:rFonts w:ascii="Times New Roman" w:hAnsi="Times New Roman" w:cs="Times New Roman"/>
        </w:rPr>
        <w:t>ről</w:t>
      </w:r>
      <w:proofErr w:type="spellEnd"/>
      <w:r>
        <w:rPr>
          <w:rFonts w:ascii="Times New Roman" w:hAnsi="Times New Roman" w:cs="Times New Roman"/>
        </w:rPr>
        <w:t xml:space="preserve"> 330 Ft/m2/év -re</w:t>
      </w:r>
      <w:r w:rsidR="00A0223B">
        <w:rPr>
          <w:rFonts w:ascii="Times New Roman" w:hAnsi="Times New Roman" w:cs="Times New Roman"/>
        </w:rPr>
        <w:t xml:space="preserve"> változik. Egyidejűleg az</w:t>
      </w:r>
      <w:r w:rsidR="007E6E2B">
        <w:rPr>
          <w:rFonts w:ascii="Times New Roman" w:hAnsi="Times New Roman" w:cs="Times New Roman"/>
        </w:rPr>
        <w:t xml:space="preserve"> állásfoglalás szerint </w:t>
      </w:r>
      <w:r w:rsidRPr="00005BDE">
        <w:rPr>
          <w:rFonts w:ascii="Times New Roman" w:hAnsi="Times New Roman" w:cs="Times New Roman"/>
        </w:rPr>
        <w:t>az övezet</w:t>
      </w:r>
      <w:r w:rsidR="00A0223B">
        <w:rPr>
          <w:rFonts w:ascii="Times New Roman" w:hAnsi="Times New Roman" w:cs="Times New Roman"/>
        </w:rPr>
        <w:t>i beosztás módosításra kerül</w:t>
      </w:r>
      <w:r>
        <w:rPr>
          <w:rFonts w:ascii="Times New Roman" w:hAnsi="Times New Roman" w:cs="Times New Roman"/>
        </w:rPr>
        <w:t>, hogy a faluközponti be nem épített telkek a 2. övezetbe kerülnek</w:t>
      </w:r>
      <w:r w:rsidR="007E6E2B">
        <w:rPr>
          <w:rFonts w:ascii="Times New Roman" w:hAnsi="Times New Roman" w:cs="Times New Roman"/>
        </w:rPr>
        <w:t xml:space="preserve"> az alábbiak szerint:</w:t>
      </w:r>
    </w:p>
    <w:p w14:paraId="3574D890" w14:textId="2767F24F" w:rsidR="007E6E2B" w:rsidRDefault="007E6E2B" w:rsidP="007E6E2B">
      <w:pPr>
        <w:spacing w:after="225" w:line="216" w:lineRule="auto"/>
        <w:ind w:right="14"/>
        <w:jc w:val="both"/>
        <w:rPr>
          <w:rFonts w:ascii="Times New Roman" w:hAnsi="Times New Roman" w:cs="Times New Roman"/>
        </w:rPr>
      </w:pPr>
      <w:r>
        <w:rPr>
          <w:noProof/>
        </w:rPr>
        <w:lastRenderedPageBreak/>
        <w:drawing>
          <wp:inline distT="0" distB="0" distL="0" distR="0" wp14:anchorId="5CA5ECD7" wp14:editId="3B1B38F2">
            <wp:extent cx="3036498" cy="2582056"/>
            <wp:effectExtent l="0" t="0" r="0" b="889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432" t="20353" r="43401" b="27718"/>
                    <a:stretch/>
                  </pic:blipFill>
                  <pic:spPr bwMode="auto">
                    <a:xfrm>
                      <a:off x="0" y="0"/>
                      <a:ext cx="3049850" cy="2593410"/>
                    </a:xfrm>
                    <a:prstGeom prst="rect">
                      <a:avLst/>
                    </a:prstGeom>
                    <a:ln>
                      <a:noFill/>
                    </a:ln>
                    <a:extLst>
                      <a:ext uri="{53640926-AAD7-44D8-BBD7-CCE9431645EC}">
                        <a14:shadowObscured xmlns:a14="http://schemas.microsoft.com/office/drawing/2010/main"/>
                      </a:ext>
                    </a:extLst>
                  </pic:spPr>
                </pic:pic>
              </a:graphicData>
            </a:graphic>
          </wp:inline>
        </w:drawing>
      </w:r>
    </w:p>
    <w:p w14:paraId="506D73A6" w14:textId="1B9F4B8F" w:rsidR="00005BDE" w:rsidRDefault="00005BDE" w:rsidP="00005BDE">
      <w:pPr>
        <w:spacing w:after="225" w:line="216" w:lineRule="auto"/>
        <w:ind w:left="24" w:right="14" w:hanging="10"/>
        <w:jc w:val="both"/>
        <w:rPr>
          <w:rFonts w:ascii="Times New Roman" w:hAnsi="Times New Roman" w:cs="Times New Roman"/>
        </w:rPr>
      </w:pPr>
      <w:r>
        <w:rPr>
          <w:rFonts w:ascii="Times New Roman" w:hAnsi="Times New Roman" w:cs="Times New Roman"/>
        </w:rPr>
        <w:t>Továbbá képviselői módosító javalat</w:t>
      </w:r>
      <w:r w:rsidR="00100585">
        <w:rPr>
          <w:rFonts w:ascii="Times New Roman" w:hAnsi="Times New Roman" w:cs="Times New Roman"/>
        </w:rPr>
        <w:t xml:space="preserve"> érkezett</w:t>
      </w:r>
      <w:r>
        <w:rPr>
          <w:rFonts w:ascii="Times New Roman" w:hAnsi="Times New Roman" w:cs="Times New Roman"/>
        </w:rPr>
        <w:t xml:space="preserve">, hogy </w:t>
      </w:r>
      <w:r w:rsidR="00100585">
        <w:rPr>
          <w:rFonts w:ascii="Times New Roman" w:hAnsi="Times New Roman" w:cs="Times New Roman"/>
        </w:rPr>
        <w:t xml:space="preserve">a Rendelet a </w:t>
      </w:r>
      <w:r w:rsidR="00100585" w:rsidRPr="008F2B45">
        <w:rPr>
          <w:rFonts w:ascii="Times New Roman" w:hAnsi="Times New Roman" w:cs="Times New Roman"/>
        </w:rPr>
        <w:t xml:space="preserve">6. § (2) bekezdés e) </w:t>
      </w:r>
      <w:r w:rsidR="00100585">
        <w:rPr>
          <w:rFonts w:ascii="Times New Roman" w:hAnsi="Times New Roman" w:cs="Times New Roman"/>
        </w:rPr>
        <w:t>pont</w:t>
      </w:r>
      <w:r w:rsidR="002D2FAD">
        <w:rPr>
          <w:rFonts w:ascii="Times New Roman" w:hAnsi="Times New Roman" w:cs="Times New Roman"/>
        </w:rPr>
        <w:t>jában</w:t>
      </w:r>
      <w:r w:rsidR="00100585">
        <w:rPr>
          <w:rFonts w:ascii="Times New Roman" w:hAnsi="Times New Roman" w:cs="Times New Roman"/>
        </w:rPr>
        <w:t xml:space="preserve"> biztosított mentesség</w:t>
      </w:r>
      <w:r w:rsidRPr="00005BDE">
        <w:rPr>
          <w:rFonts w:ascii="Times New Roman" w:hAnsi="Times New Roman" w:cs="Times New Roman"/>
        </w:rPr>
        <w:t xml:space="preserve"> </w:t>
      </w:r>
      <w:r w:rsidR="00100585">
        <w:rPr>
          <w:rFonts w:ascii="Times New Roman" w:hAnsi="Times New Roman" w:cs="Times New Roman"/>
        </w:rPr>
        <w:t xml:space="preserve">törlésre kerüljön </w:t>
      </w:r>
      <w:r w:rsidRPr="00005BDE">
        <w:rPr>
          <w:rFonts w:ascii="Times New Roman" w:hAnsi="Times New Roman" w:cs="Times New Roman"/>
        </w:rPr>
        <w:t>a Helyi Építési Szabályzási Tervben meghatározott Különleges területek közül a (K-</w:t>
      </w:r>
      <w:proofErr w:type="spellStart"/>
      <w:r w:rsidRPr="00005BDE">
        <w:rPr>
          <w:rFonts w:ascii="Times New Roman" w:hAnsi="Times New Roman" w:cs="Times New Roman"/>
        </w:rPr>
        <w:t>Kfr</w:t>
      </w:r>
      <w:proofErr w:type="spellEnd"/>
      <w:r w:rsidRPr="00005BDE">
        <w:rPr>
          <w:rFonts w:ascii="Times New Roman" w:hAnsi="Times New Roman" w:cs="Times New Roman"/>
        </w:rPr>
        <w:t>) Kutatás-Fejlesztés és rekreáció övezetet érintően.</w:t>
      </w:r>
    </w:p>
    <w:p w14:paraId="7CB25B6E" w14:textId="22AE41E9" w:rsidR="00100585" w:rsidRDefault="002D2FAD" w:rsidP="007E6E2B">
      <w:pPr>
        <w:jc w:val="both"/>
        <w:rPr>
          <w:rFonts w:ascii="Times New Roman" w:hAnsi="Times New Roman" w:cs="Times New Roman"/>
        </w:rPr>
      </w:pPr>
      <w:r>
        <w:rPr>
          <w:rFonts w:ascii="Times New Roman" w:hAnsi="Times New Roman" w:cs="Times New Roman"/>
        </w:rPr>
        <w:t>A fentieknek</w:t>
      </w:r>
      <w:r w:rsidR="00100585">
        <w:rPr>
          <w:rFonts w:ascii="Times New Roman" w:hAnsi="Times New Roman" w:cs="Times New Roman"/>
        </w:rPr>
        <w:t xml:space="preserve"> megfelelően </w:t>
      </w:r>
      <w:r w:rsidR="007E6E2B">
        <w:rPr>
          <w:rFonts w:ascii="Times New Roman" w:hAnsi="Times New Roman" w:cs="Times New Roman"/>
        </w:rPr>
        <w:t>rendeletmódosítási</w:t>
      </w:r>
      <w:r w:rsidR="00100585">
        <w:rPr>
          <w:rFonts w:ascii="Times New Roman" w:hAnsi="Times New Roman" w:cs="Times New Roman"/>
        </w:rPr>
        <w:t xml:space="preserve"> </w:t>
      </w:r>
      <w:r>
        <w:rPr>
          <w:rFonts w:ascii="Times New Roman" w:hAnsi="Times New Roman" w:cs="Times New Roman"/>
        </w:rPr>
        <w:t>javaslatok:</w:t>
      </w:r>
    </w:p>
    <w:p w14:paraId="3B06E74E" w14:textId="14432682" w:rsidR="00863021" w:rsidRPr="002D2FAD" w:rsidRDefault="00863021" w:rsidP="001407AC">
      <w:pPr>
        <w:spacing w:after="0"/>
        <w:jc w:val="center"/>
        <w:rPr>
          <w:rFonts w:ascii="Times New Roman" w:hAnsi="Times New Roman" w:cs="Times New Roman"/>
          <w:b/>
          <w:bCs/>
          <w:color w:val="FF0000"/>
          <w:u w:val="single"/>
        </w:rPr>
      </w:pPr>
      <w:r w:rsidRPr="002D2FAD">
        <w:rPr>
          <w:rFonts w:ascii="Times New Roman" w:hAnsi="Times New Roman" w:cs="Times New Roman"/>
          <w:b/>
          <w:bCs/>
          <w:color w:val="FF0000"/>
          <w:u w:val="single"/>
        </w:rPr>
        <w:t>1.számú javaslat</w:t>
      </w:r>
    </w:p>
    <w:p w14:paraId="15CBF087" w14:textId="77777777" w:rsidR="001407AC" w:rsidRPr="002D2FAD" w:rsidRDefault="001407AC" w:rsidP="001407AC">
      <w:pPr>
        <w:spacing w:after="0"/>
        <w:jc w:val="center"/>
        <w:rPr>
          <w:rFonts w:ascii="Times New Roman" w:hAnsi="Times New Roman" w:cs="Times New Roman"/>
          <w:b/>
          <w:bCs/>
        </w:rPr>
      </w:pPr>
    </w:p>
    <w:p w14:paraId="554AF9D9" w14:textId="77777777" w:rsidR="001407AC" w:rsidRPr="002D2FAD" w:rsidRDefault="001407AC" w:rsidP="001407AC">
      <w:pPr>
        <w:pStyle w:val="Szvegtrzs"/>
        <w:spacing w:after="0" w:line="240" w:lineRule="auto"/>
        <w:jc w:val="center"/>
        <w:rPr>
          <w:b/>
          <w:bCs/>
          <w:sz w:val="22"/>
          <w:szCs w:val="22"/>
        </w:rPr>
      </w:pPr>
      <w:r w:rsidRPr="002D2FAD">
        <w:rPr>
          <w:b/>
          <w:bCs/>
          <w:sz w:val="22"/>
          <w:szCs w:val="22"/>
        </w:rPr>
        <w:t>Telki Község Önkormányzata Képviselő-testületének .../.... (...) önkormányzati rendelete</w:t>
      </w:r>
    </w:p>
    <w:p w14:paraId="385FE02F" w14:textId="77777777" w:rsidR="001407AC" w:rsidRPr="002D2FAD" w:rsidRDefault="001407AC" w:rsidP="001407AC">
      <w:pPr>
        <w:pStyle w:val="Szvegtrzs"/>
        <w:spacing w:after="0" w:line="240" w:lineRule="auto"/>
        <w:jc w:val="center"/>
        <w:rPr>
          <w:b/>
          <w:bCs/>
          <w:sz w:val="22"/>
          <w:szCs w:val="22"/>
        </w:rPr>
      </w:pPr>
      <w:r w:rsidRPr="002D2FAD">
        <w:rPr>
          <w:b/>
          <w:bCs/>
          <w:sz w:val="22"/>
          <w:szCs w:val="22"/>
        </w:rPr>
        <w:t>Telki Község Önkormányzata Képviselő-testületének a telekadóról szóló 18/2022. (XI. 15.) önkormányzati rendelet módosításáról</w:t>
      </w:r>
    </w:p>
    <w:p w14:paraId="1698278B" w14:textId="3718A9D2" w:rsidR="001407AC" w:rsidRPr="002D2FAD" w:rsidRDefault="001407AC" w:rsidP="001407AC">
      <w:pPr>
        <w:pStyle w:val="Szvegtrzs"/>
        <w:spacing w:after="0" w:line="240" w:lineRule="auto"/>
        <w:jc w:val="center"/>
        <w:rPr>
          <w:b/>
          <w:bCs/>
          <w:sz w:val="22"/>
          <w:szCs w:val="22"/>
        </w:rPr>
      </w:pPr>
    </w:p>
    <w:p w14:paraId="1862EDBD" w14:textId="77777777" w:rsidR="002D2FAD" w:rsidRPr="002D2FAD" w:rsidRDefault="002D2FAD" w:rsidP="002D2FAD">
      <w:pPr>
        <w:pStyle w:val="Szvegtrzs"/>
        <w:spacing w:after="0" w:line="240" w:lineRule="auto"/>
        <w:jc w:val="both"/>
        <w:rPr>
          <w:sz w:val="22"/>
          <w:szCs w:val="22"/>
        </w:rPr>
      </w:pPr>
      <w:r w:rsidRPr="002D2FAD">
        <w:rPr>
          <w:sz w:val="22"/>
          <w:szCs w:val="22"/>
        </w:rPr>
        <w:t>[1] A szabályozás célja Telki Község területén telekadóval érintett telkek esetén az övezetek pontosítása,</w:t>
      </w:r>
    </w:p>
    <w:p w14:paraId="26472296" w14:textId="77777777" w:rsidR="002D2FAD" w:rsidRPr="002D2FAD" w:rsidRDefault="002D2FAD" w:rsidP="002D2FAD">
      <w:pPr>
        <w:pStyle w:val="Szvegtrzs"/>
        <w:spacing w:before="120" w:after="0" w:line="240" w:lineRule="auto"/>
        <w:jc w:val="both"/>
        <w:rPr>
          <w:sz w:val="22"/>
          <w:szCs w:val="22"/>
        </w:rPr>
      </w:pPr>
      <w:r w:rsidRPr="002D2FAD">
        <w:rPr>
          <w:sz w:val="22"/>
          <w:szCs w:val="22"/>
        </w:rPr>
        <w:t>[2] ennek érdekében Telki község Önkormányzatának képviselő-testülete a helyi adókról szóló 1990.évi C. törvény 1. § (1) bekezdésében kapott felhatalmazás alapján, az Alaptörvény 32.cikk (1) bekezdésnek a) és h) pontjaiban, valamint a Magyarország helyi önkormányzatairól szóló 2011. évi CLXXXIX. törvény 13. § (1) bekezdés 13. pontjában kapott feladatkörben eljárva a telekadóról az alábbi rendeletet alkotja:</w:t>
      </w:r>
    </w:p>
    <w:p w14:paraId="12068D71" w14:textId="77777777" w:rsidR="002D2FAD" w:rsidRPr="002D2FAD" w:rsidRDefault="002D2FAD" w:rsidP="002D2FAD">
      <w:pPr>
        <w:pStyle w:val="Szvegtrzs"/>
        <w:spacing w:before="240" w:after="240" w:line="240" w:lineRule="auto"/>
        <w:jc w:val="center"/>
        <w:rPr>
          <w:b/>
          <w:bCs/>
          <w:sz w:val="22"/>
          <w:szCs w:val="22"/>
        </w:rPr>
      </w:pPr>
      <w:r w:rsidRPr="002D2FAD">
        <w:rPr>
          <w:b/>
          <w:bCs/>
          <w:sz w:val="22"/>
          <w:szCs w:val="22"/>
        </w:rPr>
        <w:t>1. §</w:t>
      </w:r>
    </w:p>
    <w:p w14:paraId="206CDD54" w14:textId="77777777" w:rsidR="002D2FAD" w:rsidRPr="002D2FAD" w:rsidRDefault="002D2FAD" w:rsidP="002D2FAD">
      <w:pPr>
        <w:pStyle w:val="Szvegtrzs"/>
        <w:spacing w:after="0" w:line="240" w:lineRule="auto"/>
        <w:jc w:val="both"/>
        <w:rPr>
          <w:sz w:val="22"/>
          <w:szCs w:val="22"/>
        </w:rPr>
      </w:pPr>
      <w:r w:rsidRPr="002D2FAD">
        <w:rPr>
          <w:sz w:val="22"/>
          <w:szCs w:val="22"/>
        </w:rPr>
        <w:t>(1) A telekadóról szóló 18/2022. (XI. 15.) önkormányzati rendelet 6. § (2) bekezdés b) pontja helyébe a következő rendelkezés lép:</w:t>
      </w:r>
    </w:p>
    <w:p w14:paraId="0B73989D" w14:textId="77777777" w:rsidR="002D2FAD" w:rsidRPr="002D2FAD" w:rsidRDefault="002D2FAD" w:rsidP="002D2FAD">
      <w:pPr>
        <w:pStyle w:val="Szvegtrzs"/>
        <w:spacing w:before="240" w:after="0" w:line="240" w:lineRule="auto"/>
        <w:jc w:val="both"/>
        <w:rPr>
          <w:i/>
          <w:iCs/>
          <w:sz w:val="22"/>
          <w:szCs w:val="22"/>
        </w:rPr>
      </w:pPr>
      <w:r w:rsidRPr="002D2FAD">
        <w:rPr>
          <w:i/>
          <w:iCs/>
          <w:sz w:val="22"/>
          <w:szCs w:val="22"/>
        </w:rPr>
        <w:t>(A telekadó mértéke)</w:t>
      </w:r>
    </w:p>
    <w:p w14:paraId="6CB2823E" w14:textId="77777777" w:rsidR="002D2FAD" w:rsidRPr="002D2FAD" w:rsidRDefault="002D2FAD" w:rsidP="002D2FAD">
      <w:pPr>
        <w:pStyle w:val="Szvegtrzs"/>
        <w:spacing w:after="0" w:line="240" w:lineRule="auto"/>
        <w:ind w:left="580" w:hanging="560"/>
        <w:jc w:val="both"/>
        <w:rPr>
          <w:sz w:val="22"/>
          <w:szCs w:val="22"/>
        </w:rPr>
      </w:pPr>
      <w:r w:rsidRPr="002D2FAD">
        <w:rPr>
          <w:sz w:val="22"/>
          <w:szCs w:val="22"/>
        </w:rPr>
        <w:t>„</w:t>
      </w:r>
      <w:r w:rsidRPr="002D2FAD">
        <w:rPr>
          <w:i/>
          <w:iCs/>
          <w:sz w:val="22"/>
          <w:szCs w:val="22"/>
        </w:rPr>
        <w:t>b)</w:t>
      </w:r>
      <w:r w:rsidRPr="002D2FAD">
        <w:rPr>
          <w:sz w:val="22"/>
          <w:szCs w:val="22"/>
        </w:rPr>
        <w:tab/>
        <w:t>Belterületi, épülettel be nem épített telek esetében a telekadó mértéke</w:t>
      </w:r>
    </w:p>
    <w:p w14:paraId="173B821B" w14:textId="77777777" w:rsidR="002D2FAD" w:rsidRPr="002D2FAD" w:rsidRDefault="002D2FAD" w:rsidP="002D2FAD">
      <w:pPr>
        <w:pStyle w:val="Szvegtrzs"/>
        <w:spacing w:after="0" w:line="240" w:lineRule="auto"/>
        <w:ind w:left="980" w:hanging="400"/>
        <w:jc w:val="both"/>
        <w:rPr>
          <w:sz w:val="22"/>
          <w:szCs w:val="22"/>
        </w:rPr>
      </w:pPr>
      <w:proofErr w:type="spellStart"/>
      <w:r w:rsidRPr="002D2FAD">
        <w:rPr>
          <w:i/>
          <w:iCs/>
          <w:sz w:val="22"/>
          <w:szCs w:val="22"/>
        </w:rPr>
        <w:t>ba</w:t>
      </w:r>
      <w:proofErr w:type="spellEnd"/>
      <w:r w:rsidRPr="002D2FAD">
        <w:rPr>
          <w:i/>
          <w:iCs/>
          <w:sz w:val="22"/>
          <w:szCs w:val="22"/>
        </w:rPr>
        <w:t>)</w:t>
      </w:r>
      <w:r w:rsidRPr="002D2FAD">
        <w:rPr>
          <w:sz w:val="22"/>
          <w:szCs w:val="22"/>
        </w:rPr>
        <w:tab/>
        <w:t>I. övezetben: 150.- Ft/m2/év</w:t>
      </w:r>
    </w:p>
    <w:p w14:paraId="60FB09C4" w14:textId="77777777" w:rsidR="002D2FAD" w:rsidRPr="002D2FAD" w:rsidRDefault="002D2FAD" w:rsidP="002D2FAD">
      <w:pPr>
        <w:pStyle w:val="Szvegtrzs"/>
        <w:spacing w:after="240" w:line="240" w:lineRule="auto"/>
        <w:ind w:left="980" w:hanging="400"/>
        <w:jc w:val="both"/>
        <w:rPr>
          <w:sz w:val="22"/>
          <w:szCs w:val="22"/>
        </w:rPr>
      </w:pPr>
      <w:proofErr w:type="spellStart"/>
      <w:r w:rsidRPr="002D2FAD">
        <w:rPr>
          <w:i/>
          <w:iCs/>
          <w:sz w:val="22"/>
          <w:szCs w:val="22"/>
        </w:rPr>
        <w:t>bb</w:t>
      </w:r>
      <w:proofErr w:type="spellEnd"/>
      <w:r w:rsidRPr="002D2FAD">
        <w:rPr>
          <w:i/>
          <w:iCs/>
          <w:sz w:val="22"/>
          <w:szCs w:val="22"/>
        </w:rPr>
        <w:t>)</w:t>
      </w:r>
      <w:r w:rsidRPr="002D2FAD">
        <w:rPr>
          <w:sz w:val="22"/>
          <w:szCs w:val="22"/>
        </w:rPr>
        <w:tab/>
        <w:t>II. övezetben: 330.- Ft/m2/év”</w:t>
      </w:r>
    </w:p>
    <w:p w14:paraId="19B29ABE" w14:textId="77777777" w:rsidR="002D2FAD" w:rsidRPr="002D2FAD" w:rsidRDefault="002D2FAD" w:rsidP="002D2FAD">
      <w:pPr>
        <w:pStyle w:val="Szvegtrzs"/>
        <w:spacing w:before="240" w:after="0" w:line="240" w:lineRule="auto"/>
        <w:jc w:val="both"/>
        <w:rPr>
          <w:sz w:val="22"/>
          <w:szCs w:val="22"/>
        </w:rPr>
      </w:pPr>
      <w:r w:rsidRPr="002D2FAD">
        <w:rPr>
          <w:sz w:val="22"/>
          <w:szCs w:val="22"/>
        </w:rPr>
        <w:t>(2) A telekadóról szóló 18/2022. (XI. 15.) önkormányzati rendelet 6. § (2) bekezdés d) pontja helyébe a következő rendelkezés lép:</w:t>
      </w:r>
    </w:p>
    <w:p w14:paraId="73E72C22" w14:textId="77777777" w:rsidR="002D2FAD" w:rsidRPr="002D2FAD" w:rsidRDefault="002D2FAD" w:rsidP="002D2FAD">
      <w:pPr>
        <w:pStyle w:val="Szvegtrzs"/>
        <w:spacing w:before="240" w:after="0" w:line="240" w:lineRule="auto"/>
        <w:jc w:val="both"/>
        <w:rPr>
          <w:i/>
          <w:iCs/>
          <w:sz w:val="22"/>
          <w:szCs w:val="22"/>
        </w:rPr>
      </w:pPr>
      <w:r w:rsidRPr="002D2FAD">
        <w:rPr>
          <w:i/>
          <w:iCs/>
          <w:sz w:val="22"/>
          <w:szCs w:val="22"/>
        </w:rPr>
        <w:t>(A telekadó mértéke)</w:t>
      </w:r>
    </w:p>
    <w:p w14:paraId="06950EA3" w14:textId="77777777" w:rsidR="002D2FAD" w:rsidRPr="002D2FAD" w:rsidRDefault="002D2FAD" w:rsidP="002D2FAD">
      <w:pPr>
        <w:pStyle w:val="Szvegtrzs"/>
        <w:spacing w:after="0" w:line="240" w:lineRule="auto"/>
        <w:ind w:left="580" w:hanging="560"/>
        <w:jc w:val="both"/>
        <w:rPr>
          <w:sz w:val="22"/>
          <w:szCs w:val="22"/>
        </w:rPr>
      </w:pPr>
      <w:r w:rsidRPr="002D2FAD">
        <w:rPr>
          <w:sz w:val="22"/>
          <w:szCs w:val="22"/>
        </w:rPr>
        <w:t>„</w:t>
      </w:r>
      <w:r w:rsidRPr="002D2FAD">
        <w:rPr>
          <w:i/>
          <w:iCs/>
          <w:sz w:val="22"/>
          <w:szCs w:val="22"/>
        </w:rPr>
        <w:t>d)</w:t>
      </w:r>
      <w:r w:rsidRPr="002D2FAD">
        <w:rPr>
          <w:sz w:val="22"/>
          <w:szCs w:val="22"/>
        </w:rPr>
        <w:tab/>
        <w:t>Belterületi, épülettel beépített telek esetében a 2000 m2-t meghaladó területű adóköteles telek 2000 m2 feletti része után a telekadó évi mértéke</w:t>
      </w:r>
    </w:p>
    <w:p w14:paraId="1F5F477A" w14:textId="77777777" w:rsidR="002D2FAD" w:rsidRPr="002D2FAD" w:rsidRDefault="002D2FAD" w:rsidP="002D2FAD">
      <w:pPr>
        <w:pStyle w:val="Szvegtrzs"/>
        <w:spacing w:after="0" w:line="240" w:lineRule="auto"/>
        <w:ind w:left="980" w:hanging="400"/>
        <w:jc w:val="both"/>
        <w:rPr>
          <w:sz w:val="22"/>
          <w:szCs w:val="22"/>
        </w:rPr>
      </w:pPr>
      <w:r w:rsidRPr="002D2FAD">
        <w:rPr>
          <w:i/>
          <w:iCs/>
          <w:sz w:val="22"/>
          <w:szCs w:val="22"/>
        </w:rPr>
        <w:t>da)</w:t>
      </w:r>
      <w:r w:rsidRPr="002D2FAD">
        <w:rPr>
          <w:sz w:val="22"/>
          <w:szCs w:val="22"/>
        </w:rPr>
        <w:tab/>
        <w:t>I. övezetben 150.- Ft/m2/év</w:t>
      </w:r>
    </w:p>
    <w:p w14:paraId="2545D901" w14:textId="77777777" w:rsidR="002D2FAD" w:rsidRPr="002D2FAD" w:rsidRDefault="002D2FAD" w:rsidP="002D2FAD">
      <w:pPr>
        <w:pStyle w:val="Szvegtrzs"/>
        <w:spacing w:after="240" w:line="240" w:lineRule="auto"/>
        <w:ind w:left="980" w:hanging="400"/>
        <w:jc w:val="both"/>
        <w:rPr>
          <w:sz w:val="22"/>
          <w:szCs w:val="22"/>
        </w:rPr>
      </w:pPr>
      <w:r w:rsidRPr="002D2FAD">
        <w:rPr>
          <w:i/>
          <w:iCs/>
          <w:sz w:val="22"/>
          <w:szCs w:val="22"/>
        </w:rPr>
        <w:t>db)</w:t>
      </w:r>
      <w:r w:rsidRPr="002D2FAD">
        <w:rPr>
          <w:sz w:val="22"/>
          <w:szCs w:val="22"/>
        </w:rPr>
        <w:tab/>
        <w:t>II. övezetben 330.- Ft/m2/év”</w:t>
      </w:r>
    </w:p>
    <w:p w14:paraId="03A2D25C" w14:textId="77777777" w:rsidR="002D2FAD" w:rsidRPr="002D2FAD" w:rsidRDefault="002D2FAD" w:rsidP="002D2FAD">
      <w:pPr>
        <w:pStyle w:val="Szvegtrzs"/>
        <w:spacing w:before="240" w:after="240" w:line="240" w:lineRule="auto"/>
        <w:jc w:val="center"/>
        <w:rPr>
          <w:b/>
          <w:bCs/>
          <w:sz w:val="22"/>
          <w:szCs w:val="22"/>
        </w:rPr>
      </w:pPr>
      <w:r w:rsidRPr="002D2FAD">
        <w:rPr>
          <w:b/>
          <w:bCs/>
          <w:sz w:val="22"/>
          <w:szCs w:val="22"/>
        </w:rPr>
        <w:t>2. §</w:t>
      </w:r>
    </w:p>
    <w:p w14:paraId="186CC27B" w14:textId="77777777" w:rsidR="002D2FAD" w:rsidRPr="002D2FAD" w:rsidRDefault="002D2FAD" w:rsidP="002D2FAD">
      <w:pPr>
        <w:pStyle w:val="Szvegtrzs"/>
        <w:spacing w:after="0" w:line="240" w:lineRule="auto"/>
        <w:jc w:val="both"/>
        <w:rPr>
          <w:sz w:val="22"/>
          <w:szCs w:val="22"/>
        </w:rPr>
      </w:pPr>
      <w:r w:rsidRPr="002D2FAD">
        <w:rPr>
          <w:sz w:val="22"/>
          <w:szCs w:val="22"/>
        </w:rPr>
        <w:t>A telekadóról szóló 18/2022. (XI. 15.) önkormányzati rendelet 1. melléklete az 1. melléklet szerint módosul.</w:t>
      </w:r>
    </w:p>
    <w:p w14:paraId="1F6D9EDC" w14:textId="77777777" w:rsidR="002D2FAD" w:rsidRPr="002D2FAD" w:rsidRDefault="002D2FAD" w:rsidP="002D2FAD">
      <w:pPr>
        <w:pStyle w:val="Szvegtrzs"/>
        <w:spacing w:before="240" w:after="240" w:line="240" w:lineRule="auto"/>
        <w:jc w:val="center"/>
        <w:rPr>
          <w:b/>
          <w:bCs/>
          <w:sz w:val="22"/>
          <w:szCs w:val="22"/>
        </w:rPr>
      </w:pPr>
      <w:r w:rsidRPr="002D2FAD">
        <w:rPr>
          <w:b/>
          <w:bCs/>
          <w:sz w:val="22"/>
          <w:szCs w:val="22"/>
        </w:rPr>
        <w:lastRenderedPageBreak/>
        <w:t>3. §</w:t>
      </w:r>
    </w:p>
    <w:p w14:paraId="4B741DE9" w14:textId="77777777" w:rsidR="002D2FAD" w:rsidRPr="002D2FAD" w:rsidRDefault="002D2FAD" w:rsidP="002D2FAD">
      <w:pPr>
        <w:pStyle w:val="Szvegtrzs"/>
        <w:spacing w:after="0" w:line="240" w:lineRule="auto"/>
        <w:jc w:val="both"/>
        <w:rPr>
          <w:sz w:val="22"/>
          <w:szCs w:val="22"/>
        </w:rPr>
      </w:pPr>
      <w:r w:rsidRPr="002D2FAD">
        <w:rPr>
          <w:sz w:val="22"/>
          <w:szCs w:val="22"/>
        </w:rPr>
        <w:t>Hatályát veszti a telekadóról szóló 18/2022. (XI. 15.) önkormányzati rendelet 6. § (2) bekezdés e) pontja.</w:t>
      </w:r>
    </w:p>
    <w:p w14:paraId="40AC5221" w14:textId="77777777" w:rsidR="002D2FAD" w:rsidRPr="002D2FAD" w:rsidRDefault="002D2FAD" w:rsidP="002D2FAD">
      <w:pPr>
        <w:pStyle w:val="Szvegtrzs"/>
        <w:spacing w:before="240" w:after="240" w:line="240" w:lineRule="auto"/>
        <w:jc w:val="center"/>
        <w:rPr>
          <w:b/>
          <w:bCs/>
          <w:sz w:val="22"/>
          <w:szCs w:val="22"/>
        </w:rPr>
      </w:pPr>
      <w:r w:rsidRPr="002D2FAD">
        <w:rPr>
          <w:b/>
          <w:bCs/>
          <w:sz w:val="22"/>
          <w:szCs w:val="22"/>
        </w:rPr>
        <w:t>4. §</w:t>
      </w:r>
    </w:p>
    <w:p w14:paraId="2DD797B4" w14:textId="2CEAA6E8" w:rsidR="002D2FAD" w:rsidRDefault="002D2FAD" w:rsidP="002D2FAD">
      <w:pPr>
        <w:pStyle w:val="Szvegtrzs"/>
        <w:spacing w:after="0" w:line="240" w:lineRule="auto"/>
        <w:jc w:val="both"/>
        <w:rPr>
          <w:sz w:val="22"/>
          <w:szCs w:val="22"/>
        </w:rPr>
      </w:pPr>
      <w:r w:rsidRPr="002D2FAD">
        <w:rPr>
          <w:sz w:val="22"/>
          <w:szCs w:val="22"/>
        </w:rPr>
        <w:t>Ez a rendelet 2026. január 1-jén lép hatályba.</w:t>
      </w:r>
    </w:p>
    <w:p w14:paraId="4111DA5D" w14:textId="77777777" w:rsidR="002D2FAD" w:rsidRPr="002D2FAD" w:rsidRDefault="002D2FAD" w:rsidP="002D2FAD">
      <w:pPr>
        <w:pStyle w:val="Szvegtrzs"/>
        <w:spacing w:after="0" w:line="240" w:lineRule="auto"/>
        <w:jc w:val="both"/>
        <w:rPr>
          <w:sz w:val="22"/>
          <w:szCs w:val="22"/>
        </w:rPr>
      </w:pPr>
    </w:p>
    <w:p w14:paraId="42E39474" w14:textId="77777777" w:rsidR="002D2FAD" w:rsidRPr="002D2FAD" w:rsidRDefault="002D2FAD" w:rsidP="002D2FAD">
      <w:pPr>
        <w:pStyle w:val="Szvegtrzs"/>
        <w:spacing w:line="240" w:lineRule="auto"/>
        <w:jc w:val="right"/>
        <w:rPr>
          <w:sz w:val="22"/>
          <w:szCs w:val="22"/>
        </w:rPr>
      </w:pPr>
      <w:r w:rsidRPr="002D2FAD">
        <w:rPr>
          <w:sz w:val="22"/>
          <w:szCs w:val="22"/>
        </w:rPr>
        <w:t>1. melléklet az .../</w:t>
      </w:r>
      <w:proofErr w:type="gramStart"/>
      <w:r w:rsidRPr="002D2FAD">
        <w:rPr>
          <w:sz w:val="22"/>
          <w:szCs w:val="22"/>
        </w:rPr>
        <w:t>... .</w:t>
      </w:r>
      <w:proofErr w:type="gramEnd"/>
      <w:r w:rsidRPr="002D2FAD">
        <w:rPr>
          <w:sz w:val="22"/>
          <w:szCs w:val="22"/>
        </w:rPr>
        <w:t xml:space="preserve"> (... . </w:t>
      </w:r>
      <w:proofErr w:type="gramStart"/>
      <w:r w:rsidRPr="002D2FAD">
        <w:rPr>
          <w:sz w:val="22"/>
          <w:szCs w:val="22"/>
        </w:rPr>
        <w:t>... .</w:t>
      </w:r>
      <w:proofErr w:type="gramEnd"/>
      <w:r w:rsidRPr="002D2FAD">
        <w:rPr>
          <w:sz w:val="22"/>
          <w:szCs w:val="22"/>
        </w:rPr>
        <w:t>) önkormányzati rendelethez</w:t>
      </w:r>
    </w:p>
    <w:p w14:paraId="2FC30B98" w14:textId="77777777" w:rsidR="002D2FAD" w:rsidRPr="002D2FAD" w:rsidRDefault="002D2FAD" w:rsidP="002D2FAD">
      <w:pPr>
        <w:pStyle w:val="Szvegtrzs"/>
        <w:spacing w:before="220" w:after="0" w:line="240" w:lineRule="auto"/>
        <w:jc w:val="both"/>
        <w:rPr>
          <w:sz w:val="22"/>
          <w:szCs w:val="22"/>
        </w:rPr>
      </w:pPr>
      <w:r w:rsidRPr="002D2FAD">
        <w:rPr>
          <w:sz w:val="22"/>
          <w:szCs w:val="22"/>
        </w:rPr>
        <w:t>1. A telekadóról szóló 18/2022. (XI. 15.) önkormányzati rendelet 1. melléklet 1. pont helyébe a következő pont lép:</w:t>
      </w:r>
    </w:p>
    <w:p w14:paraId="68A09DCF" w14:textId="77777777" w:rsidR="002D2FAD" w:rsidRPr="002D2FAD" w:rsidRDefault="002D2FAD" w:rsidP="002D2FAD">
      <w:pPr>
        <w:pStyle w:val="Szvegtrzs"/>
        <w:spacing w:before="240" w:after="240" w:line="240" w:lineRule="auto"/>
        <w:jc w:val="both"/>
        <w:rPr>
          <w:sz w:val="22"/>
          <w:szCs w:val="22"/>
        </w:rPr>
      </w:pPr>
      <w:r w:rsidRPr="002D2FAD">
        <w:rPr>
          <w:sz w:val="22"/>
          <w:szCs w:val="22"/>
        </w:rPr>
        <w:t>„1. számú övezet: Alsóvölgy utca, Áfonya köz, Áfonya utca, Akácos út, Alsó Orgona utca, Anna-laki út, Árnyas köz, Árnyas út, Árnyas utca, Árok utca, Barka köz, Barka utca, Berkenye köz, Berkenye utca, Boróka köz, Boróka utca, Budajenői út páros oldal, Búzavirág utca, Cinege utca, Cseresznyés dűlő, Csipke köz, Csipke utca, Darázs utca, Dombhát utca, Erdő sor, Erdő utca, Fenyves utca, Forrás utca, Fő utca, Gábor Áron köz, Gábor Áron utca, Galagonya köz, Galagonya utca, Gyöngy köz, Gyöngy utca, Gyöngy sor, Gyöngyvirág utca, Harangvirág utca, Hársfa utca, Hóvirág köz, Hóvirág sor, Hóvirág utca, Juharfa utca, Kabóca utca, Kamilla köz, Kamilla utca, Kilátó köz, Kórház fasor, Kökörcsin utca, Kőrisfa köz, Kőrisfa utca, Futrinka utca, Legelődombi út, Lejtő utca, Levendula köz, Levendula utca, Liget utca, Mandula köz, Margaréta utca, Moha köz, Mókus utca, Muskátli utca, Muskátli park, Napsugár út, Nárcisz köz, Nárcisz utca, Nefelejcs utca, Nyírfa köz, Nyírfa utca, Nyúl utca, Orgona köz, Orgona utca, Öregdűlő köz, Öreghegyi út, Őszapó köz, Őzike utca, Petőfi Sándor utca, Pipacs utca, Pillangó utca, Rákóczi utca, Repkény utca, Repkény köz, Rozmaring utca, Rózsa utca, Sármány utca, Sün utca, Szabó-tanya, Szajkó utca, Szarvas utca, Szarvas köz, Szegfű köz, Szegfű utca, Szellő utca, Szilfa utca, Szőlő sor, Temető utca, Tengelice utca, Tölgyfa köz, Tölgyfa utca, Tulipán utca, Tücsök utca, Vadrózsa utca, Villám utca, Völgy utca, Zápor utca, Zöldike utca, Zúzmara utca,”</w:t>
      </w:r>
    </w:p>
    <w:p w14:paraId="74D2F4FF" w14:textId="77777777" w:rsidR="002D2FAD" w:rsidRPr="002D2FAD" w:rsidRDefault="002D2FAD" w:rsidP="002D2FAD">
      <w:pPr>
        <w:pStyle w:val="Szvegtrzs"/>
        <w:spacing w:before="220" w:after="0" w:line="240" w:lineRule="auto"/>
        <w:jc w:val="both"/>
        <w:rPr>
          <w:sz w:val="22"/>
          <w:szCs w:val="22"/>
        </w:rPr>
      </w:pPr>
      <w:r w:rsidRPr="002D2FAD">
        <w:rPr>
          <w:sz w:val="22"/>
          <w:szCs w:val="22"/>
        </w:rPr>
        <w:t>2. A telekadóról szóló 18/2022. (XI. 15.) önkormányzati rendelet 1. melléklet 2. pont helyébe a következő pont lép:</w:t>
      </w:r>
    </w:p>
    <w:p w14:paraId="48379BDB" w14:textId="572ACC20" w:rsidR="002D2FAD" w:rsidRDefault="002D2FAD" w:rsidP="002D2FAD">
      <w:pPr>
        <w:pStyle w:val="Szvegtrzs"/>
        <w:spacing w:before="240" w:after="240" w:line="240" w:lineRule="auto"/>
        <w:jc w:val="both"/>
        <w:rPr>
          <w:sz w:val="22"/>
          <w:szCs w:val="22"/>
        </w:rPr>
      </w:pPr>
      <w:r w:rsidRPr="002D2FAD">
        <w:rPr>
          <w:sz w:val="22"/>
          <w:szCs w:val="22"/>
        </w:rPr>
        <w:t>„2. számú övezet: Pipacs köz, Rózsa köz, Budajenői út páratlan oldal, Pipacs utcának a Budajenői úttól a Pipacs közig terjedő szakasza, a Búzavirág utcának a Pipacs köztől a Harangvirág utcáig terjedő szakasza, Harangvirág utca páratlan oldala a Búzavirág utca és Muskátli utca közötti szakaszon</w:t>
      </w:r>
      <w:proofErr w:type="gramStart"/>
      <w:r w:rsidRPr="002D2FAD">
        <w:rPr>
          <w:sz w:val="22"/>
          <w:szCs w:val="22"/>
        </w:rPr>
        <w:t>, ”</w:t>
      </w:r>
      <w:proofErr w:type="gramEnd"/>
    </w:p>
    <w:p w14:paraId="19C060E1" w14:textId="77777777" w:rsidR="002D2FAD" w:rsidRDefault="002D2FAD" w:rsidP="00CE657E">
      <w:pPr>
        <w:spacing w:after="0"/>
        <w:jc w:val="both"/>
        <w:rPr>
          <w:rFonts w:ascii="Times New Roman" w:hAnsi="Times New Roman" w:cs="Times New Roman"/>
        </w:rPr>
      </w:pPr>
    </w:p>
    <w:p w14:paraId="4580EEF2" w14:textId="3455F572" w:rsidR="00863021" w:rsidRDefault="00863021" w:rsidP="001407AC">
      <w:pPr>
        <w:pStyle w:val="Szvegtrzs"/>
        <w:spacing w:after="0" w:line="240" w:lineRule="auto"/>
        <w:jc w:val="center"/>
        <w:rPr>
          <w:b/>
          <w:bCs/>
          <w:color w:val="FF0000"/>
          <w:sz w:val="22"/>
          <w:szCs w:val="22"/>
          <w:u w:val="single"/>
        </w:rPr>
      </w:pPr>
      <w:r w:rsidRPr="002D2FAD">
        <w:rPr>
          <w:b/>
          <w:bCs/>
          <w:color w:val="FF0000"/>
          <w:sz w:val="22"/>
          <w:szCs w:val="22"/>
          <w:u w:val="single"/>
        </w:rPr>
        <w:t>2.számú javaslat</w:t>
      </w:r>
    </w:p>
    <w:p w14:paraId="60B5F4D2" w14:textId="77777777" w:rsidR="002D2FAD" w:rsidRPr="002D2FAD" w:rsidRDefault="002D2FAD" w:rsidP="001407AC">
      <w:pPr>
        <w:pStyle w:val="Szvegtrzs"/>
        <w:spacing w:after="0" w:line="240" w:lineRule="auto"/>
        <w:jc w:val="center"/>
        <w:rPr>
          <w:b/>
          <w:bCs/>
          <w:color w:val="FF0000"/>
          <w:sz w:val="22"/>
          <w:szCs w:val="22"/>
          <w:u w:val="single"/>
        </w:rPr>
      </w:pPr>
    </w:p>
    <w:p w14:paraId="084E6C59" w14:textId="77777777" w:rsidR="00445C59" w:rsidRPr="00445C59" w:rsidRDefault="00445C59" w:rsidP="00D11285">
      <w:pPr>
        <w:pStyle w:val="Szvegtrzs"/>
        <w:spacing w:after="0" w:line="240" w:lineRule="auto"/>
        <w:jc w:val="center"/>
        <w:rPr>
          <w:b/>
          <w:bCs/>
          <w:sz w:val="22"/>
          <w:szCs w:val="22"/>
        </w:rPr>
      </w:pPr>
      <w:r w:rsidRPr="00445C59">
        <w:rPr>
          <w:b/>
          <w:bCs/>
          <w:sz w:val="22"/>
          <w:szCs w:val="22"/>
        </w:rPr>
        <w:t>Telki Község Önkormányzata Képviselő-testületének .../.... (...) önkormányzati rendelete</w:t>
      </w:r>
    </w:p>
    <w:p w14:paraId="439F4E5A" w14:textId="045162AC" w:rsidR="00445C59" w:rsidRDefault="00445C59" w:rsidP="00D11285">
      <w:pPr>
        <w:pStyle w:val="Szvegtrzs"/>
        <w:spacing w:after="0" w:line="240" w:lineRule="auto"/>
        <w:jc w:val="center"/>
        <w:rPr>
          <w:b/>
          <w:bCs/>
          <w:sz w:val="22"/>
          <w:szCs w:val="22"/>
        </w:rPr>
      </w:pPr>
      <w:r w:rsidRPr="00445C59">
        <w:rPr>
          <w:b/>
          <w:bCs/>
          <w:sz w:val="22"/>
          <w:szCs w:val="22"/>
        </w:rPr>
        <w:t>Telki Község Önkormányzata Képviselő-testületének a telekadóról szóló 18/2022. (XI. 15.) önkormányzati rendelet módosításáról</w:t>
      </w:r>
    </w:p>
    <w:p w14:paraId="4143062C" w14:textId="4350ADD6" w:rsidR="002D2FAD" w:rsidRPr="002D2FAD" w:rsidRDefault="002D2FAD" w:rsidP="00D11285">
      <w:pPr>
        <w:pStyle w:val="Szvegtrzs"/>
        <w:spacing w:after="0" w:line="240" w:lineRule="auto"/>
        <w:jc w:val="center"/>
        <w:rPr>
          <w:b/>
          <w:bCs/>
          <w:sz w:val="22"/>
          <w:szCs w:val="22"/>
        </w:rPr>
      </w:pPr>
    </w:p>
    <w:p w14:paraId="28220FC6" w14:textId="77777777" w:rsidR="002D2FAD" w:rsidRPr="002D2FAD" w:rsidRDefault="002D2FAD" w:rsidP="002D2FAD">
      <w:pPr>
        <w:pStyle w:val="Szvegtrzs"/>
        <w:spacing w:after="0" w:line="240" w:lineRule="auto"/>
        <w:jc w:val="both"/>
        <w:rPr>
          <w:sz w:val="22"/>
          <w:szCs w:val="22"/>
        </w:rPr>
      </w:pPr>
      <w:r w:rsidRPr="002D2FAD">
        <w:rPr>
          <w:sz w:val="22"/>
          <w:szCs w:val="22"/>
        </w:rPr>
        <w:t>[1] A szabályozás célja Telki Község területén telekadóval érintett telkek esetén az övezetek pontosítása,</w:t>
      </w:r>
    </w:p>
    <w:p w14:paraId="3DC3DE8B" w14:textId="77777777" w:rsidR="002D2FAD" w:rsidRPr="002D2FAD" w:rsidRDefault="002D2FAD" w:rsidP="002D2FAD">
      <w:pPr>
        <w:pStyle w:val="Szvegtrzs"/>
        <w:spacing w:before="120" w:after="0" w:line="240" w:lineRule="auto"/>
        <w:jc w:val="both"/>
        <w:rPr>
          <w:sz w:val="22"/>
          <w:szCs w:val="22"/>
        </w:rPr>
      </w:pPr>
      <w:r w:rsidRPr="002D2FAD">
        <w:rPr>
          <w:sz w:val="22"/>
          <w:szCs w:val="22"/>
        </w:rPr>
        <w:t>[2] ennek érdekében Telki község Önkormányzatának képviselő-testülete a helyi adókról szóló 1990.évi C. törvény 1. § (1) bekezdésében kapott felhatalmazás alapján, az Alaptörvény 32.cikk (1) bekezdésnek a) és h) pontjaiban, valamint a Magyarország helyi önkormányzatairól szóló 2011. évi CLXXXIX. törvény 13. § (1) bekezdés 13. pontjában kapott feladatkörben eljárva a telekadóról az alábbi rendeletet alkotja:</w:t>
      </w:r>
    </w:p>
    <w:p w14:paraId="1E3D5C81" w14:textId="77777777" w:rsidR="002D2FAD" w:rsidRPr="002D2FAD" w:rsidRDefault="002D2FAD" w:rsidP="002D2FAD">
      <w:pPr>
        <w:pStyle w:val="Szvegtrzs"/>
        <w:spacing w:before="240" w:after="240" w:line="240" w:lineRule="auto"/>
        <w:jc w:val="center"/>
        <w:rPr>
          <w:b/>
          <w:bCs/>
          <w:sz w:val="22"/>
          <w:szCs w:val="22"/>
        </w:rPr>
      </w:pPr>
      <w:r w:rsidRPr="002D2FAD">
        <w:rPr>
          <w:b/>
          <w:bCs/>
          <w:sz w:val="22"/>
          <w:szCs w:val="22"/>
        </w:rPr>
        <w:t>1. §</w:t>
      </w:r>
    </w:p>
    <w:p w14:paraId="33128AD2" w14:textId="77777777" w:rsidR="002D2FAD" w:rsidRPr="002D2FAD" w:rsidRDefault="002D2FAD" w:rsidP="002D2FAD">
      <w:pPr>
        <w:pStyle w:val="Szvegtrzs"/>
        <w:spacing w:after="0" w:line="240" w:lineRule="auto"/>
        <w:jc w:val="both"/>
        <w:rPr>
          <w:sz w:val="22"/>
          <w:szCs w:val="22"/>
        </w:rPr>
      </w:pPr>
      <w:r w:rsidRPr="002D2FAD">
        <w:rPr>
          <w:sz w:val="22"/>
          <w:szCs w:val="22"/>
        </w:rPr>
        <w:t>(1) A telekadóról szóló 18/2022. (XI. 15.) önkormányzati rendelet 6. § (2) bekezdés b) pontja helyébe a következő rendelkezés lép:</w:t>
      </w:r>
    </w:p>
    <w:p w14:paraId="6964587A" w14:textId="77777777" w:rsidR="002D2FAD" w:rsidRPr="002D2FAD" w:rsidRDefault="002D2FAD" w:rsidP="002D2FAD">
      <w:pPr>
        <w:pStyle w:val="Szvegtrzs"/>
        <w:spacing w:before="240" w:after="0" w:line="240" w:lineRule="auto"/>
        <w:jc w:val="both"/>
        <w:rPr>
          <w:i/>
          <w:iCs/>
          <w:sz w:val="22"/>
          <w:szCs w:val="22"/>
        </w:rPr>
      </w:pPr>
      <w:r w:rsidRPr="002D2FAD">
        <w:rPr>
          <w:i/>
          <w:iCs/>
          <w:sz w:val="22"/>
          <w:szCs w:val="22"/>
        </w:rPr>
        <w:t>(A telekadó mértéke)</w:t>
      </w:r>
    </w:p>
    <w:p w14:paraId="49A33762" w14:textId="77777777" w:rsidR="002D2FAD" w:rsidRPr="002D2FAD" w:rsidRDefault="002D2FAD" w:rsidP="002D2FAD">
      <w:pPr>
        <w:pStyle w:val="Szvegtrzs"/>
        <w:spacing w:after="0" w:line="240" w:lineRule="auto"/>
        <w:ind w:left="580" w:hanging="560"/>
        <w:jc w:val="both"/>
        <w:rPr>
          <w:sz w:val="22"/>
          <w:szCs w:val="22"/>
        </w:rPr>
      </w:pPr>
      <w:r w:rsidRPr="002D2FAD">
        <w:rPr>
          <w:sz w:val="22"/>
          <w:szCs w:val="22"/>
        </w:rPr>
        <w:t>„</w:t>
      </w:r>
      <w:r w:rsidRPr="002D2FAD">
        <w:rPr>
          <w:i/>
          <w:iCs/>
          <w:sz w:val="22"/>
          <w:szCs w:val="22"/>
        </w:rPr>
        <w:t>b)</w:t>
      </w:r>
      <w:r w:rsidRPr="002D2FAD">
        <w:rPr>
          <w:sz w:val="22"/>
          <w:szCs w:val="22"/>
        </w:rPr>
        <w:tab/>
        <w:t>Belterületi, épülettel be nem épített telek esetében a telekadó mértéke</w:t>
      </w:r>
    </w:p>
    <w:p w14:paraId="15907622" w14:textId="77777777" w:rsidR="002D2FAD" w:rsidRPr="002D2FAD" w:rsidRDefault="002D2FAD" w:rsidP="002D2FAD">
      <w:pPr>
        <w:pStyle w:val="Szvegtrzs"/>
        <w:spacing w:after="0" w:line="240" w:lineRule="auto"/>
        <w:ind w:left="980" w:hanging="400"/>
        <w:jc w:val="both"/>
        <w:rPr>
          <w:sz w:val="22"/>
          <w:szCs w:val="22"/>
        </w:rPr>
      </w:pPr>
      <w:proofErr w:type="spellStart"/>
      <w:r w:rsidRPr="002D2FAD">
        <w:rPr>
          <w:i/>
          <w:iCs/>
          <w:sz w:val="22"/>
          <w:szCs w:val="22"/>
        </w:rPr>
        <w:t>ba</w:t>
      </w:r>
      <w:proofErr w:type="spellEnd"/>
      <w:r w:rsidRPr="002D2FAD">
        <w:rPr>
          <w:i/>
          <w:iCs/>
          <w:sz w:val="22"/>
          <w:szCs w:val="22"/>
        </w:rPr>
        <w:t>)</w:t>
      </w:r>
      <w:r w:rsidRPr="002D2FAD">
        <w:rPr>
          <w:sz w:val="22"/>
          <w:szCs w:val="22"/>
        </w:rPr>
        <w:tab/>
        <w:t>I. övezetben: 150.- Ft/m2/év</w:t>
      </w:r>
    </w:p>
    <w:p w14:paraId="6210AD6C" w14:textId="77777777" w:rsidR="002D2FAD" w:rsidRPr="002D2FAD" w:rsidRDefault="002D2FAD" w:rsidP="002D2FAD">
      <w:pPr>
        <w:pStyle w:val="Szvegtrzs"/>
        <w:spacing w:after="240" w:line="240" w:lineRule="auto"/>
        <w:ind w:left="980" w:hanging="400"/>
        <w:jc w:val="both"/>
        <w:rPr>
          <w:sz w:val="22"/>
          <w:szCs w:val="22"/>
        </w:rPr>
      </w:pPr>
      <w:proofErr w:type="spellStart"/>
      <w:r w:rsidRPr="002D2FAD">
        <w:rPr>
          <w:i/>
          <w:iCs/>
          <w:sz w:val="22"/>
          <w:szCs w:val="22"/>
        </w:rPr>
        <w:t>bb</w:t>
      </w:r>
      <w:proofErr w:type="spellEnd"/>
      <w:r w:rsidRPr="002D2FAD">
        <w:rPr>
          <w:i/>
          <w:iCs/>
          <w:sz w:val="22"/>
          <w:szCs w:val="22"/>
        </w:rPr>
        <w:t>)</w:t>
      </w:r>
      <w:r w:rsidRPr="002D2FAD">
        <w:rPr>
          <w:sz w:val="22"/>
          <w:szCs w:val="22"/>
        </w:rPr>
        <w:tab/>
        <w:t>II. övezetben: 330.- Ft/m2/év”</w:t>
      </w:r>
    </w:p>
    <w:p w14:paraId="34D9F57B" w14:textId="77777777" w:rsidR="002D2FAD" w:rsidRPr="002D2FAD" w:rsidRDefault="002D2FAD" w:rsidP="002D2FAD">
      <w:pPr>
        <w:pStyle w:val="Szvegtrzs"/>
        <w:spacing w:before="240" w:after="0" w:line="240" w:lineRule="auto"/>
        <w:jc w:val="both"/>
        <w:rPr>
          <w:sz w:val="22"/>
          <w:szCs w:val="22"/>
        </w:rPr>
      </w:pPr>
      <w:r w:rsidRPr="002D2FAD">
        <w:rPr>
          <w:sz w:val="22"/>
          <w:szCs w:val="22"/>
        </w:rPr>
        <w:lastRenderedPageBreak/>
        <w:t>(2) A telekadóról szóló 18/2022. (XI. 15.) önkormányzati rendelet 6. § (2) bekezdés d) pontja helyébe a következő rendelkezés lép:</w:t>
      </w:r>
    </w:p>
    <w:p w14:paraId="28AB4315" w14:textId="77777777" w:rsidR="002D2FAD" w:rsidRPr="002D2FAD" w:rsidRDefault="002D2FAD" w:rsidP="002D2FAD">
      <w:pPr>
        <w:pStyle w:val="Szvegtrzs"/>
        <w:spacing w:before="240" w:after="0" w:line="240" w:lineRule="auto"/>
        <w:jc w:val="both"/>
        <w:rPr>
          <w:i/>
          <w:iCs/>
          <w:sz w:val="22"/>
          <w:szCs w:val="22"/>
        </w:rPr>
      </w:pPr>
      <w:r w:rsidRPr="002D2FAD">
        <w:rPr>
          <w:i/>
          <w:iCs/>
          <w:sz w:val="22"/>
          <w:szCs w:val="22"/>
        </w:rPr>
        <w:t>(A telekadó mértéke)</w:t>
      </w:r>
    </w:p>
    <w:p w14:paraId="4D393679" w14:textId="77777777" w:rsidR="002D2FAD" w:rsidRPr="002D2FAD" w:rsidRDefault="002D2FAD" w:rsidP="002D2FAD">
      <w:pPr>
        <w:pStyle w:val="Szvegtrzs"/>
        <w:spacing w:after="0" w:line="240" w:lineRule="auto"/>
        <w:ind w:left="580" w:hanging="560"/>
        <w:jc w:val="both"/>
        <w:rPr>
          <w:sz w:val="22"/>
          <w:szCs w:val="22"/>
        </w:rPr>
      </w:pPr>
      <w:r w:rsidRPr="002D2FAD">
        <w:rPr>
          <w:sz w:val="22"/>
          <w:szCs w:val="22"/>
        </w:rPr>
        <w:t>„</w:t>
      </w:r>
      <w:r w:rsidRPr="002D2FAD">
        <w:rPr>
          <w:i/>
          <w:iCs/>
          <w:sz w:val="22"/>
          <w:szCs w:val="22"/>
        </w:rPr>
        <w:t>d)</w:t>
      </w:r>
      <w:r w:rsidRPr="002D2FAD">
        <w:rPr>
          <w:sz w:val="22"/>
          <w:szCs w:val="22"/>
        </w:rPr>
        <w:tab/>
        <w:t>Belterületi, épülettel beépített telek esetében a 2000 m2-t meghaladó területű adóköteles telek 2000 m2 feletti része után a telekadó évi mértéke</w:t>
      </w:r>
    </w:p>
    <w:p w14:paraId="26EBA27D" w14:textId="77777777" w:rsidR="002D2FAD" w:rsidRPr="002D2FAD" w:rsidRDefault="002D2FAD" w:rsidP="002D2FAD">
      <w:pPr>
        <w:pStyle w:val="Szvegtrzs"/>
        <w:spacing w:after="0" w:line="240" w:lineRule="auto"/>
        <w:ind w:left="980" w:hanging="400"/>
        <w:jc w:val="both"/>
        <w:rPr>
          <w:sz w:val="22"/>
          <w:szCs w:val="22"/>
        </w:rPr>
      </w:pPr>
      <w:r w:rsidRPr="002D2FAD">
        <w:rPr>
          <w:i/>
          <w:iCs/>
          <w:sz w:val="22"/>
          <w:szCs w:val="22"/>
        </w:rPr>
        <w:t>da)</w:t>
      </w:r>
      <w:r w:rsidRPr="002D2FAD">
        <w:rPr>
          <w:sz w:val="22"/>
          <w:szCs w:val="22"/>
        </w:rPr>
        <w:tab/>
        <w:t>I. övezetben 150.- Ft/m2/év</w:t>
      </w:r>
    </w:p>
    <w:p w14:paraId="38C569C8" w14:textId="77777777" w:rsidR="002D2FAD" w:rsidRPr="002D2FAD" w:rsidRDefault="002D2FAD" w:rsidP="002D2FAD">
      <w:pPr>
        <w:pStyle w:val="Szvegtrzs"/>
        <w:spacing w:after="240" w:line="240" w:lineRule="auto"/>
        <w:ind w:left="980" w:hanging="400"/>
        <w:jc w:val="both"/>
        <w:rPr>
          <w:sz w:val="22"/>
          <w:szCs w:val="22"/>
        </w:rPr>
      </w:pPr>
      <w:r w:rsidRPr="002D2FAD">
        <w:rPr>
          <w:i/>
          <w:iCs/>
          <w:sz w:val="22"/>
          <w:szCs w:val="22"/>
        </w:rPr>
        <w:t>db)</w:t>
      </w:r>
      <w:r w:rsidRPr="002D2FAD">
        <w:rPr>
          <w:sz w:val="22"/>
          <w:szCs w:val="22"/>
        </w:rPr>
        <w:tab/>
        <w:t>II. övezetben 330.- Ft/m2/év”</w:t>
      </w:r>
    </w:p>
    <w:p w14:paraId="0877E55E" w14:textId="77777777" w:rsidR="002D2FAD" w:rsidRPr="002D2FAD" w:rsidRDefault="002D2FAD" w:rsidP="002D2FAD">
      <w:pPr>
        <w:pStyle w:val="Szvegtrzs"/>
        <w:spacing w:before="240" w:after="240" w:line="240" w:lineRule="auto"/>
        <w:jc w:val="center"/>
        <w:rPr>
          <w:b/>
          <w:bCs/>
          <w:sz w:val="22"/>
          <w:szCs w:val="22"/>
        </w:rPr>
      </w:pPr>
      <w:r w:rsidRPr="002D2FAD">
        <w:rPr>
          <w:b/>
          <w:bCs/>
          <w:sz w:val="22"/>
          <w:szCs w:val="22"/>
        </w:rPr>
        <w:t>2. §</w:t>
      </w:r>
    </w:p>
    <w:p w14:paraId="7AA6F41A" w14:textId="77777777" w:rsidR="002D2FAD" w:rsidRPr="002D2FAD" w:rsidRDefault="002D2FAD" w:rsidP="002D2FAD">
      <w:pPr>
        <w:pStyle w:val="Szvegtrzs"/>
        <w:spacing w:after="0" w:line="240" w:lineRule="auto"/>
        <w:jc w:val="both"/>
        <w:rPr>
          <w:sz w:val="22"/>
          <w:szCs w:val="22"/>
        </w:rPr>
      </w:pPr>
      <w:r w:rsidRPr="002D2FAD">
        <w:rPr>
          <w:sz w:val="22"/>
          <w:szCs w:val="22"/>
        </w:rPr>
        <w:t>A telekadóról szóló 18/2022. (XI. 15.) önkormányzati rendelet 1. melléklete az 1. melléklet szerint módosul.</w:t>
      </w:r>
    </w:p>
    <w:p w14:paraId="71EF890C" w14:textId="77777777" w:rsidR="002D2FAD" w:rsidRPr="002D2FAD" w:rsidRDefault="002D2FAD" w:rsidP="002D2FAD">
      <w:pPr>
        <w:pStyle w:val="Szvegtrzs"/>
        <w:spacing w:before="240" w:after="240" w:line="240" w:lineRule="auto"/>
        <w:jc w:val="center"/>
        <w:rPr>
          <w:b/>
          <w:bCs/>
          <w:sz w:val="22"/>
          <w:szCs w:val="22"/>
        </w:rPr>
      </w:pPr>
      <w:r w:rsidRPr="002D2FAD">
        <w:rPr>
          <w:b/>
          <w:bCs/>
          <w:sz w:val="22"/>
          <w:szCs w:val="22"/>
        </w:rPr>
        <w:t>3. §</w:t>
      </w:r>
    </w:p>
    <w:p w14:paraId="2D0F9524" w14:textId="49D95FB1" w:rsidR="002D2FAD" w:rsidRDefault="002D2FAD" w:rsidP="002D2FAD">
      <w:pPr>
        <w:pStyle w:val="Szvegtrzs"/>
        <w:spacing w:after="0" w:line="240" w:lineRule="auto"/>
        <w:jc w:val="both"/>
        <w:rPr>
          <w:sz w:val="22"/>
          <w:szCs w:val="22"/>
        </w:rPr>
      </w:pPr>
      <w:r w:rsidRPr="002D2FAD">
        <w:rPr>
          <w:sz w:val="22"/>
          <w:szCs w:val="22"/>
        </w:rPr>
        <w:t>Ez a rendelet 2026. január 1-jén lép hatályba.</w:t>
      </w:r>
    </w:p>
    <w:p w14:paraId="3338EC6F" w14:textId="77777777" w:rsidR="002D2FAD" w:rsidRDefault="002D2FAD" w:rsidP="002D2FAD">
      <w:pPr>
        <w:pStyle w:val="Szvegtrzs"/>
        <w:spacing w:after="0" w:line="240" w:lineRule="auto"/>
        <w:jc w:val="both"/>
        <w:rPr>
          <w:sz w:val="22"/>
          <w:szCs w:val="22"/>
        </w:rPr>
      </w:pPr>
    </w:p>
    <w:p w14:paraId="5991785D" w14:textId="3D597CA5" w:rsidR="002D2FAD" w:rsidRPr="002D2FAD" w:rsidRDefault="002D2FAD" w:rsidP="002D2FAD">
      <w:pPr>
        <w:pStyle w:val="Szvegtrzs"/>
        <w:spacing w:after="0" w:line="240" w:lineRule="auto"/>
        <w:jc w:val="right"/>
        <w:rPr>
          <w:sz w:val="22"/>
          <w:szCs w:val="22"/>
        </w:rPr>
      </w:pPr>
      <w:r w:rsidRPr="002D2FAD">
        <w:rPr>
          <w:sz w:val="22"/>
          <w:szCs w:val="22"/>
        </w:rPr>
        <w:t>1. melléklet az .../</w:t>
      </w:r>
      <w:proofErr w:type="gramStart"/>
      <w:r w:rsidRPr="002D2FAD">
        <w:rPr>
          <w:sz w:val="22"/>
          <w:szCs w:val="22"/>
        </w:rPr>
        <w:t>... .</w:t>
      </w:r>
      <w:proofErr w:type="gramEnd"/>
      <w:r w:rsidRPr="002D2FAD">
        <w:rPr>
          <w:sz w:val="22"/>
          <w:szCs w:val="22"/>
        </w:rPr>
        <w:t xml:space="preserve"> (... . </w:t>
      </w:r>
      <w:proofErr w:type="gramStart"/>
      <w:r w:rsidRPr="002D2FAD">
        <w:rPr>
          <w:sz w:val="22"/>
          <w:szCs w:val="22"/>
        </w:rPr>
        <w:t>... .</w:t>
      </w:r>
      <w:proofErr w:type="gramEnd"/>
      <w:r w:rsidRPr="002D2FAD">
        <w:rPr>
          <w:sz w:val="22"/>
          <w:szCs w:val="22"/>
        </w:rPr>
        <w:t>) önkormányzati rendelethez</w:t>
      </w:r>
    </w:p>
    <w:p w14:paraId="3CC35C01" w14:textId="77777777" w:rsidR="002D2FAD" w:rsidRPr="002D2FAD" w:rsidRDefault="002D2FAD" w:rsidP="002D2FAD">
      <w:pPr>
        <w:pStyle w:val="Szvegtrzs"/>
        <w:spacing w:before="220" w:after="0" w:line="240" w:lineRule="auto"/>
        <w:jc w:val="both"/>
        <w:rPr>
          <w:sz w:val="22"/>
          <w:szCs w:val="22"/>
        </w:rPr>
      </w:pPr>
      <w:r w:rsidRPr="002D2FAD">
        <w:rPr>
          <w:sz w:val="22"/>
          <w:szCs w:val="22"/>
        </w:rPr>
        <w:t>1. A telekadóról szóló 18/2022. (XI. 15.) önkormányzati rendelet 1. melléklet 1. pont helyébe a következő pont lép:</w:t>
      </w:r>
    </w:p>
    <w:p w14:paraId="2DAD727F" w14:textId="77777777" w:rsidR="002D2FAD" w:rsidRPr="002D2FAD" w:rsidRDefault="002D2FAD" w:rsidP="002D2FAD">
      <w:pPr>
        <w:pStyle w:val="Szvegtrzs"/>
        <w:spacing w:before="240" w:after="240" w:line="240" w:lineRule="auto"/>
        <w:jc w:val="both"/>
        <w:rPr>
          <w:sz w:val="22"/>
          <w:szCs w:val="22"/>
        </w:rPr>
      </w:pPr>
      <w:r w:rsidRPr="002D2FAD">
        <w:rPr>
          <w:sz w:val="22"/>
          <w:szCs w:val="22"/>
        </w:rPr>
        <w:t>„1. számú övezet: Alsóvölgy utca, Áfonya köz, Áfonya utca, Akácos út, Alsó Orgona utca, Anna-laki út, Árnyas köz, Árnyas út, Árnyas utca, Árok utca, Barka köz, Barka utca, Berkenye köz, Berkenye utca, Boróka köz, Boróka utca, Budajenői út páros oldal, Búzavirág utca, Cinege utca, Cseresznyés dűlő, Csipke köz, Csipke utca, Darázs utca, Dombhát utca, Erdő sor, Erdő utca, Fenyves utca, Forrás utca, Fő utca, Gábor Áron köz, Gábor Áron utca, Galagonya köz, Galagonya utca, Gyöngy köz, Gyöngy utca, Gyöngy sor, Gyöngyvirág utca, Harangvirág utca, Hársfa utca, Hóvirág köz, Hóvirág sor, Hóvirág utca, Juharfa utca, Kabóca utca, Kamilla köz, Kamilla utca, Kilátó köz, Kórház fasor, Kökörcsin utca, Kőrisfa köz, Kőrisfa utca, Futrinka utca, Legelődombi út, Lejtő utca, Levendula köz, Levendula utca, Liget utca, Mandula köz, Margaréta utca, Moha köz, Mókus utca, Muskátli utca, Muskátli park, Napsugár út, Nárcisz köz, Nárcisz utca, Nefelejcs utca, Nyírfa köz, Nyírfa utca, Nyúl utca, Orgona köz, Orgona utca, Öregdűlő köz, Öreghegyi út, Őszapó köz, Őzike utca, Petőfi Sándor utca, Pipacs utca, Pillangó utca, Rákóczi utca, Repkény utca, Repkény köz, Rozmaring utca, Rózsa utca, Sármány utca, Sün utca, Szabó-tanya, Szajkó utca, Szarvas utca, Szarvas köz, Szegfű köz, Szegfű utca, Szellő utca, Szilfa utca, Szőlő sor, Temető utca, Tengelice utca, Tölgyfa köz, Tölgyfa utca, Tulipán utca, Tücsök utca, Vadrózsa utca, Villám utca, Völgy utca, Zápor utca, Zöldike utca, Zúzmara utca,”</w:t>
      </w:r>
    </w:p>
    <w:p w14:paraId="720E4DB2" w14:textId="77777777" w:rsidR="002D2FAD" w:rsidRPr="002D2FAD" w:rsidRDefault="002D2FAD" w:rsidP="002D2FAD">
      <w:pPr>
        <w:pStyle w:val="Szvegtrzs"/>
        <w:spacing w:before="220" w:after="0" w:line="240" w:lineRule="auto"/>
        <w:jc w:val="both"/>
        <w:rPr>
          <w:sz w:val="22"/>
          <w:szCs w:val="22"/>
        </w:rPr>
      </w:pPr>
      <w:r w:rsidRPr="002D2FAD">
        <w:rPr>
          <w:sz w:val="22"/>
          <w:szCs w:val="22"/>
        </w:rPr>
        <w:t>2. A telekadóról szóló 18/2022. (XI. 15.) önkormányzati rendelet 1. melléklet 2. pont helyébe a következő pont lép:</w:t>
      </w:r>
    </w:p>
    <w:p w14:paraId="0929BB25" w14:textId="29D31DB7" w:rsidR="002D2FAD" w:rsidRPr="00445C59" w:rsidRDefault="002D2FAD" w:rsidP="002D2FAD">
      <w:pPr>
        <w:pStyle w:val="Szvegtrzs"/>
        <w:spacing w:before="240" w:after="240" w:line="240" w:lineRule="auto"/>
        <w:jc w:val="both"/>
        <w:rPr>
          <w:b/>
          <w:bCs/>
          <w:sz w:val="22"/>
          <w:szCs w:val="22"/>
        </w:rPr>
      </w:pPr>
      <w:r w:rsidRPr="002D2FAD">
        <w:rPr>
          <w:sz w:val="22"/>
          <w:szCs w:val="22"/>
        </w:rPr>
        <w:t>„2. számú övezet: Pipacs köz, Rózsa köz, Budajenői út páratlan oldal, Pipacs utcának a Budajenői úttól a Pipacs közig terjedő szakasza, a Búzavirág utcának a Pipacs köztől a Harangvirág utcáig terjedő szakasza, Harangvirág utca páratlan oldala a Búzavirág utca és Muskátli utca közötti szakaszon</w:t>
      </w:r>
      <w:proofErr w:type="gramStart"/>
      <w:r w:rsidRPr="002D2FAD">
        <w:rPr>
          <w:sz w:val="22"/>
          <w:szCs w:val="22"/>
        </w:rPr>
        <w:t>, ”</w:t>
      </w:r>
      <w:proofErr w:type="gramEnd"/>
    </w:p>
    <w:sectPr w:rsidR="002D2FAD" w:rsidRPr="00445C59" w:rsidSect="007E6E2B">
      <w:footerReference w:type="default" r:id="rId12"/>
      <w:pgSz w:w="11906" w:h="16838"/>
      <w:pgMar w:top="720" w:right="1274"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0E3D" w14:textId="77777777" w:rsidR="003879EA" w:rsidRDefault="00D11285">
      <w:pPr>
        <w:spacing w:after="0" w:line="240" w:lineRule="auto"/>
      </w:pPr>
      <w:r>
        <w:separator/>
      </w:r>
    </w:p>
  </w:endnote>
  <w:endnote w:type="continuationSeparator" w:id="0">
    <w:p w14:paraId="4DB690F7" w14:textId="77777777" w:rsidR="003879EA" w:rsidRDefault="00D1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69CA" w14:textId="77777777" w:rsidR="00B36422" w:rsidRDefault="00B36422">
    <w:pPr>
      <w:pStyle w:val="llb"/>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869D" w14:textId="77777777" w:rsidR="003879EA" w:rsidRDefault="00D11285">
      <w:pPr>
        <w:spacing w:after="0" w:line="240" w:lineRule="auto"/>
      </w:pPr>
      <w:r>
        <w:separator/>
      </w:r>
    </w:p>
  </w:footnote>
  <w:footnote w:type="continuationSeparator" w:id="0">
    <w:p w14:paraId="454F88C7" w14:textId="77777777" w:rsidR="003879EA" w:rsidRDefault="00D11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3D7A"/>
    <w:multiLevelType w:val="hybridMultilevel"/>
    <w:tmpl w:val="33804606"/>
    <w:lvl w:ilvl="0" w:tplc="AD86794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C730FEC"/>
    <w:multiLevelType w:val="hybridMultilevel"/>
    <w:tmpl w:val="BEECDF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EDC1D7C"/>
    <w:multiLevelType w:val="hybridMultilevel"/>
    <w:tmpl w:val="9F761E12"/>
    <w:lvl w:ilvl="0" w:tplc="040E0001">
      <w:start w:val="1"/>
      <w:numFmt w:val="bullet"/>
      <w:lvlText w:val=""/>
      <w:lvlJc w:val="left"/>
      <w:pPr>
        <w:ind w:left="734" w:hanging="360"/>
      </w:pPr>
      <w:rPr>
        <w:rFonts w:ascii="Symbol" w:hAnsi="Symbol" w:hint="default"/>
      </w:rPr>
    </w:lvl>
    <w:lvl w:ilvl="1" w:tplc="040E0003" w:tentative="1">
      <w:start w:val="1"/>
      <w:numFmt w:val="bullet"/>
      <w:lvlText w:val="o"/>
      <w:lvlJc w:val="left"/>
      <w:pPr>
        <w:ind w:left="1454" w:hanging="360"/>
      </w:pPr>
      <w:rPr>
        <w:rFonts w:ascii="Courier New" w:hAnsi="Courier New" w:cs="Courier New" w:hint="default"/>
      </w:rPr>
    </w:lvl>
    <w:lvl w:ilvl="2" w:tplc="040E0005" w:tentative="1">
      <w:start w:val="1"/>
      <w:numFmt w:val="bullet"/>
      <w:lvlText w:val=""/>
      <w:lvlJc w:val="left"/>
      <w:pPr>
        <w:ind w:left="2174" w:hanging="360"/>
      </w:pPr>
      <w:rPr>
        <w:rFonts w:ascii="Wingdings" w:hAnsi="Wingdings" w:hint="default"/>
      </w:rPr>
    </w:lvl>
    <w:lvl w:ilvl="3" w:tplc="040E0001" w:tentative="1">
      <w:start w:val="1"/>
      <w:numFmt w:val="bullet"/>
      <w:lvlText w:val=""/>
      <w:lvlJc w:val="left"/>
      <w:pPr>
        <w:ind w:left="2894" w:hanging="360"/>
      </w:pPr>
      <w:rPr>
        <w:rFonts w:ascii="Symbol" w:hAnsi="Symbol" w:hint="default"/>
      </w:rPr>
    </w:lvl>
    <w:lvl w:ilvl="4" w:tplc="040E0003" w:tentative="1">
      <w:start w:val="1"/>
      <w:numFmt w:val="bullet"/>
      <w:lvlText w:val="o"/>
      <w:lvlJc w:val="left"/>
      <w:pPr>
        <w:ind w:left="3614" w:hanging="360"/>
      </w:pPr>
      <w:rPr>
        <w:rFonts w:ascii="Courier New" w:hAnsi="Courier New" w:cs="Courier New" w:hint="default"/>
      </w:rPr>
    </w:lvl>
    <w:lvl w:ilvl="5" w:tplc="040E0005" w:tentative="1">
      <w:start w:val="1"/>
      <w:numFmt w:val="bullet"/>
      <w:lvlText w:val=""/>
      <w:lvlJc w:val="left"/>
      <w:pPr>
        <w:ind w:left="4334" w:hanging="360"/>
      </w:pPr>
      <w:rPr>
        <w:rFonts w:ascii="Wingdings" w:hAnsi="Wingdings" w:hint="default"/>
      </w:rPr>
    </w:lvl>
    <w:lvl w:ilvl="6" w:tplc="040E0001" w:tentative="1">
      <w:start w:val="1"/>
      <w:numFmt w:val="bullet"/>
      <w:lvlText w:val=""/>
      <w:lvlJc w:val="left"/>
      <w:pPr>
        <w:ind w:left="5054" w:hanging="360"/>
      </w:pPr>
      <w:rPr>
        <w:rFonts w:ascii="Symbol" w:hAnsi="Symbol" w:hint="default"/>
      </w:rPr>
    </w:lvl>
    <w:lvl w:ilvl="7" w:tplc="040E0003" w:tentative="1">
      <w:start w:val="1"/>
      <w:numFmt w:val="bullet"/>
      <w:lvlText w:val="o"/>
      <w:lvlJc w:val="left"/>
      <w:pPr>
        <w:ind w:left="5774" w:hanging="360"/>
      </w:pPr>
      <w:rPr>
        <w:rFonts w:ascii="Courier New" w:hAnsi="Courier New" w:cs="Courier New" w:hint="default"/>
      </w:rPr>
    </w:lvl>
    <w:lvl w:ilvl="8" w:tplc="040E0005" w:tentative="1">
      <w:start w:val="1"/>
      <w:numFmt w:val="bullet"/>
      <w:lvlText w:val=""/>
      <w:lvlJc w:val="left"/>
      <w:pPr>
        <w:ind w:left="6494" w:hanging="360"/>
      </w:pPr>
      <w:rPr>
        <w:rFonts w:ascii="Wingdings" w:hAnsi="Wingdings" w:hint="default"/>
      </w:rPr>
    </w:lvl>
  </w:abstractNum>
  <w:abstractNum w:abstractNumId="3" w15:restartNumberingAfterBreak="0">
    <w:nsid w:val="50B60A2B"/>
    <w:multiLevelType w:val="hybridMultilevel"/>
    <w:tmpl w:val="E4AC4886"/>
    <w:lvl w:ilvl="0" w:tplc="5C4C299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0FD2242"/>
    <w:multiLevelType w:val="hybridMultilevel"/>
    <w:tmpl w:val="84DC8D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27655994">
    <w:abstractNumId w:val="2"/>
  </w:num>
  <w:num w:numId="2" w16cid:durableId="1004170139">
    <w:abstractNumId w:val="0"/>
  </w:num>
  <w:num w:numId="3" w16cid:durableId="482308551">
    <w:abstractNumId w:val="3"/>
  </w:num>
  <w:num w:numId="4" w16cid:durableId="1049456628">
    <w:abstractNumId w:val="4"/>
  </w:num>
  <w:num w:numId="5" w16cid:durableId="191341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C0"/>
    <w:rsid w:val="00005BDE"/>
    <w:rsid w:val="00013E44"/>
    <w:rsid w:val="000201B2"/>
    <w:rsid w:val="00034913"/>
    <w:rsid w:val="0005645E"/>
    <w:rsid w:val="00092A74"/>
    <w:rsid w:val="00094647"/>
    <w:rsid w:val="000A09F2"/>
    <w:rsid w:val="000D0F63"/>
    <w:rsid w:val="000D2857"/>
    <w:rsid w:val="000D7408"/>
    <w:rsid w:val="000E03BD"/>
    <w:rsid w:val="000F3A75"/>
    <w:rsid w:val="000F677C"/>
    <w:rsid w:val="00100585"/>
    <w:rsid w:val="00125BBE"/>
    <w:rsid w:val="00137AB5"/>
    <w:rsid w:val="001407AC"/>
    <w:rsid w:val="00140F10"/>
    <w:rsid w:val="00162E1C"/>
    <w:rsid w:val="00167BFB"/>
    <w:rsid w:val="00172173"/>
    <w:rsid w:val="0019548A"/>
    <w:rsid w:val="001B0D0E"/>
    <w:rsid w:val="001C138E"/>
    <w:rsid w:val="001E793B"/>
    <w:rsid w:val="00205775"/>
    <w:rsid w:val="002420E7"/>
    <w:rsid w:val="002526C4"/>
    <w:rsid w:val="00267375"/>
    <w:rsid w:val="00267710"/>
    <w:rsid w:val="002A38B1"/>
    <w:rsid w:val="002C0AEE"/>
    <w:rsid w:val="002D2FAD"/>
    <w:rsid w:val="002E26D1"/>
    <w:rsid w:val="002F6E1A"/>
    <w:rsid w:val="00300A34"/>
    <w:rsid w:val="00352B49"/>
    <w:rsid w:val="003864D2"/>
    <w:rsid w:val="003879EA"/>
    <w:rsid w:val="003A7805"/>
    <w:rsid w:val="003F4B56"/>
    <w:rsid w:val="00427987"/>
    <w:rsid w:val="004303F6"/>
    <w:rsid w:val="00435894"/>
    <w:rsid w:val="00445C59"/>
    <w:rsid w:val="00462F8A"/>
    <w:rsid w:val="004716EE"/>
    <w:rsid w:val="00482A06"/>
    <w:rsid w:val="00483296"/>
    <w:rsid w:val="00493627"/>
    <w:rsid w:val="0050357D"/>
    <w:rsid w:val="00507F5E"/>
    <w:rsid w:val="00524487"/>
    <w:rsid w:val="00531C2F"/>
    <w:rsid w:val="0054452E"/>
    <w:rsid w:val="00544DCB"/>
    <w:rsid w:val="005819D5"/>
    <w:rsid w:val="00587C6B"/>
    <w:rsid w:val="005D38B2"/>
    <w:rsid w:val="005E6CD3"/>
    <w:rsid w:val="005F56DE"/>
    <w:rsid w:val="006027D7"/>
    <w:rsid w:val="006048E1"/>
    <w:rsid w:val="00606CC0"/>
    <w:rsid w:val="00632653"/>
    <w:rsid w:val="00636462"/>
    <w:rsid w:val="00637A7E"/>
    <w:rsid w:val="00644EAF"/>
    <w:rsid w:val="00645540"/>
    <w:rsid w:val="00651820"/>
    <w:rsid w:val="00653568"/>
    <w:rsid w:val="0065411C"/>
    <w:rsid w:val="00656B02"/>
    <w:rsid w:val="00660981"/>
    <w:rsid w:val="00681DCB"/>
    <w:rsid w:val="0068240E"/>
    <w:rsid w:val="00686AEE"/>
    <w:rsid w:val="006F12A0"/>
    <w:rsid w:val="006F4014"/>
    <w:rsid w:val="0070669D"/>
    <w:rsid w:val="00736F36"/>
    <w:rsid w:val="007459E7"/>
    <w:rsid w:val="0074683B"/>
    <w:rsid w:val="00786F72"/>
    <w:rsid w:val="00793132"/>
    <w:rsid w:val="007B5AA8"/>
    <w:rsid w:val="007B5AFE"/>
    <w:rsid w:val="007D3741"/>
    <w:rsid w:val="007E6E2B"/>
    <w:rsid w:val="00804765"/>
    <w:rsid w:val="0080605C"/>
    <w:rsid w:val="0081206B"/>
    <w:rsid w:val="008222A3"/>
    <w:rsid w:val="00822C1B"/>
    <w:rsid w:val="00856F10"/>
    <w:rsid w:val="00861E52"/>
    <w:rsid w:val="00861F58"/>
    <w:rsid w:val="00863021"/>
    <w:rsid w:val="008702F0"/>
    <w:rsid w:val="00877AE8"/>
    <w:rsid w:val="008B3904"/>
    <w:rsid w:val="008B62C9"/>
    <w:rsid w:val="008E2547"/>
    <w:rsid w:val="008F7B4E"/>
    <w:rsid w:val="009301C1"/>
    <w:rsid w:val="00933F1A"/>
    <w:rsid w:val="00941ADB"/>
    <w:rsid w:val="00952A9E"/>
    <w:rsid w:val="009553AD"/>
    <w:rsid w:val="00957FB3"/>
    <w:rsid w:val="009625D1"/>
    <w:rsid w:val="009670F9"/>
    <w:rsid w:val="009730B8"/>
    <w:rsid w:val="00973138"/>
    <w:rsid w:val="009820F5"/>
    <w:rsid w:val="009A0A5E"/>
    <w:rsid w:val="009B594A"/>
    <w:rsid w:val="009E44BD"/>
    <w:rsid w:val="00A00259"/>
    <w:rsid w:val="00A00D41"/>
    <w:rsid w:val="00A0223B"/>
    <w:rsid w:val="00A12517"/>
    <w:rsid w:val="00A3138C"/>
    <w:rsid w:val="00A320E4"/>
    <w:rsid w:val="00A52297"/>
    <w:rsid w:val="00A63C8F"/>
    <w:rsid w:val="00A6708B"/>
    <w:rsid w:val="00A94B82"/>
    <w:rsid w:val="00AC2AFB"/>
    <w:rsid w:val="00AC4FE7"/>
    <w:rsid w:val="00AD034C"/>
    <w:rsid w:val="00AD3191"/>
    <w:rsid w:val="00AF4105"/>
    <w:rsid w:val="00AF66A9"/>
    <w:rsid w:val="00B36422"/>
    <w:rsid w:val="00B455C0"/>
    <w:rsid w:val="00B76A09"/>
    <w:rsid w:val="00B94646"/>
    <w:rsid w:val="00BC3D79"/>
    <w:rsid w:val="00BD42FC"/>
    <w:rsid w:val="00BE444D"/>
    <w:rsid w:val="00BF1D7D"/>
    <w:rsid w:val="00C02AD9"/>
    <w:rsid w:val="00C205D6"/>
    <w:rsid w:val="00C334F6"/>
    <w:rsid w:val="00C341D8"/>
    <w:rsid w:val="00C35F46"/>
    <w:rsid w:val="00C462D2"/>
    <w:rsid w:val="00C76C3F"/>
    <w:rsid w:val="00C96222"/>
    <w:rsid w:val="00CA3B6F"/>
    <w:rsid w:val="00CB6478"/>
    <w:rsid w:val="00CE292E"/>
    <w:rsid w:val="00CE657E"/>
    <w:rsid w:val="00CF629B"/>
    <w:rsid w:val="00D11285"/>
    <w:rsid w:val="00D166E8"/>
    <w:rsid w:val="00D252CD"/>
    <w:rsid w:val="00D25A01"/>
    <w:rsid w:val="00D30220"/>
    <w:rsid w:val="00D65AB8"/>
    <w:rsid w:val="00D826ED"/>
    <w:rsid w:val="00D859E1"/>
    <w:rsid w:val="00D920F2"/>
    <w:rsid w:val="00D961C4"/>
    <w:rsid w:val="00D97188"/>
    <w:rsid w:val="00DB587B"/>
    <w:rsid w:val="00DC54EC"/>
    <w:rsid w:val="00DC6A5E"/>
    <w:rsid w:val="00DD394E"/>
    <w:rsid w:val="00DE7ABB"/>
    <w:rsid w:val="00DF297A"/>
    <w:rsid w:val="00E03476"/>
    <w:rsid w:val="00E06E37"/>
    <w:rsid w:val="00E171FD"/>
    <w:rsid w:val="00E5644E"/>
    <w:rsid w:val="00E93198"/>
    <w:rsid w:val="00EC4E36"/>
    <w:rsid w:val="00EC5F5A"/>
    <w:rsid w:val="00ED6F89"/>
    <w:rsid w:val="00F03459"/>
    <w:rsid w:val="00F256EA"/>
    <w:rsid w:val="00F25D6F"/>
    <w:rsid w:val="00F36151"/>
    <w:rsid w:val="00F45BF8"/>
    <w:rsid w:val="00F56352"/>
    <w:rsid w:val="00F64FDF"/>
    <w:rsid w:val="00F66C4B"/>
    <w:rsid w:val="00F81B00"/>
    <w:rsid w:val="00F828A1"/>
    <w:rsid w:val="00FC3B15"/>
    <w:rsid w:val="00FD4234"/>
    <w:rsid w:val="00FE35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D0E7"/>
  <w15:chartTrackingRefBased/>
  <w15:docId w15:val="{154609F0-FF29-4DB5-A316-C6306240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455C0"/>
    <w:rPr>
      <w:rFonts w:ascii="Calibri" w:eastAsia="Calibri" w:hAnsi="Calibri" w:cs="Calibri"/>
      <w:color w:val="00000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bekezdés1,Welt L,lista_2,Bullet List,FooterText,numbered,Paragraphe de liste1,Bulletr List Paragraph,列出段落,列出段落1,Listeafsnit1,Parágrafo da Lista1,List Paragraph2,List Paragraph21,リスト段落1,Párrafo de lista1,Színes lista – 1. jelölőszín1"/>
    <w:basedOn w:val="Norml"/>
    <w:link w:val="ListaszerbekezdsChar"/>
    <w:uiPriority w:val="34"/>
    <w:qFormat/>
    <w:rsid w:val="00B455C0"/>
    <w:pPr>
      <w:ind w:left="720"/>
      <w:contextualSpacing/>
    </w:pPr>
  </w:style>
  <w:style w:type="paragraph" w:customStyle="1" w:styleId="uj">
    <w:name w:val="uj"/>
    <w:basedOn w:val="Norml"/>
    <w:rsid w:val="00D859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ighlighted">
    <w:name w:val="highlighted"/>
    <w:basedOn w:val="Bekezdsalapbettpusa"/>
    <w:rsid w:val="00D859E1"/>
  </w:style>
  <w:style w:type="paragraph" w:styleId="NormlWeb">
    <w:name w:val="Normal (Web)"/>
    <w:basedOn w:val="Norml"/>
    <w:uiPriority w:val="99"/>
    <w:semiHidden/>
    <w:unhideWhenUsed/>
    <w:rsid w:val="00F36151"/>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300A34"/>
    <w:pPr>
      <w:spacing w:after="0" w:line="240" w:lineRule="auto"/>
    </w:pPr>
    <w:rPr>
      <w:rFonts w:eastAsiaTheme="minorEastAsia"/>
      <w:lang w:eastAsia="hu-HU"/>
    </w:rPr>
    <w:tblPr>
      <w:tblCellMar>
        <w:top w:w="0" w:type="dxa"/>
        <w:left w:w="0" w:type="dxa"/>
        <w:bottom w:w="0" w:type="dxa"/>
        <w:right w:w="0" w:type="dxa"/>
      </w:tblCellMar>
    </w:tblPr>
  </w:style>
  <w:style w:type="table" w:styleId="Rcsostblzat">
    <w:name w:val="Table Grid"/>
    <w:basedOn w:val="Normltblzat"/>
    <w:uiPriority w:val="39"/>
    <w:rsid w:val="00DC5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bekezdés1 Char,Welt L Char,lista_2 Char,Bullet List Char,FooterText Char,numbered Char,Paragraphe de liste1 Char,Bulletr List Paragraph Char,列出段落 Char,列出段落1 Char,Listeafsnit1 Char,Parágrafo da Lista1 Char,List Paragraph2 Char"/>
    <w:link w:val="Listaszerbekezds"/>
    <w:uiPriority w:val="99"/>
    <w:qFormat/>
    <w:locked/>
    <w:rsid w:val="0074683B"/>
    <w:rPr>
      <w:rFonts w:ascii="Calibri" w:eastAsia="Calibri" w:hAnsi="Calibri" w:cs="Calibri"/>
      <w:color w:val="000000"/>
      <w:lang w:eastAsia="hu-HU"/>
    </w:rPr>
  </w:style>
  <w:style w:type="character" w:styleId="Hiperhivatkozs">
    <w:name w:val="Hyperlink"/>
    <w:basedOn w:val="Bekezdsalapbettpusa"/>
    <w:uiPriority w:val="99"/>
    <w:unhideWhenUsed/>
    <w:rsid w:val="00B94646"/>
    <w:rPr>
      <w:color w:val="0000FF"/>
      <w:u w:val="single"/>
    </w:rPr>
  </w:style>
  <w:style w:type="character" w:styleId="Feloldatlanmegemlts">
    <w:name w:val="Unresolved Mention"/>
    <w:basedOn w:val="Bekezdsalapbettpusa"/>
    <w:uiPriority w:val="99"/>
    <w:semiHidden/>
    <w:unhideWhenUsed/>
    <w:rsid w:val="00267710"/>
    <w:rPr>
      <w:color w:val="605E5C"/>
      <w:shd w:val="clear" w:color="auto" w:fill="E1DFDD"/>
    </w:rPr>
  </w:style>
  <w:style w:type="paragraph" w:styleId="Szvegtrzs">
    <w:name w:val="Body Text"/>
    <w:basedOn w:val="Norml"/>
    <w:link w:val="SzvegtrzsChar"/>
    <w:rsid w:val="008F7B4E"/>
    <w:pPr>
      <w:suppressAutoHyphens/>
      <w:spacing w:after="140" w:line="288" w:lineRule="auto"/>
    </w:pPr>
    <w:rPr>
      <w:rFonts w:ascii="Times New Roman" w:eastAsia="Noto Sans CJK SC Regular" w:hAnsi="Times New Roman" w:cs="FreeSans"/>
      <w:color w:val="auto"/>
      <w:kern w:val="2"/>
      <w:sz w:val="24"/>
      <w:szCs w:val="24"/>
      <w:lang w:eastAsia="zh-CN" w:bidi="hi-IN"/>
    </w:rPr>
  </w:style>
  <w:style w:type="character" w:customStyle="1" w:styleId="SzvegtrzsChar">
    <w:name w:val="Szövegtörzs Char"/>
    <w:basedOn w:val="Bekezdsalapbettpusa"/>
    <w:link w:val="Szvegtrzs"/>
    <w:rsid w:val="008F7B4E"/>
    <w:rPr>
      <w:rFonts w:ascii="Times New Roman" w:eastAsia="Noto Sans CJK SC Regular" w:hAnsi="Times New Roman" w:cs="FreeSans"/>
      <w:kern w:val="2"/>
      <w:sz w:val="24"/>
      <w:szCs w:val="24"/>
      <w:lang w:eastAsia="zh-CN" w:bidi="hi-IN"/>
    </w:rPr>
  </w:style>
  <w:style w:type="paragraph" w:styleId="llb">
    <w:name w:val="footer"/>
    <w:basedOn w:val="Norml"/>
    <w:link w:val="llbChar"/>
    <w:rsid w:val="00863021"/>
    <w:pPr>
      <w:suppressLineNumbers/>
      <w:tabs>
        <w:tab w:val="center" w:pos="4819"/>
        <w:tab w:val="right" w:pos="9638"/>
      </w:tabs>
      <w:suppressAutoHyphens/>
      <w:spacing w:after="0" w:line="240" w:lineRule="auto"/>
    </w:pPr>
    <w:rPr>
      <w:rFonts w:ascii="Times New Roman" w:eastAsia="Noto Sans CJK SC Regular" w:hAnsi="Times New Roman" w:cs="FreeSans"/>
      <w:color w:val="auto"/>
      <w:kern w:val="2"/>
      <w:sz w:val="24"/>
      <w:szCs w:val="24"/>
      <w:lang w:eastAsia="zh-CN" w:bidi="hi-IN"/>
    </w:rPr>
  </w:style>
  <w:style w:type="character" w:customStyle="1" w:styleId="llbChar">
    <w:name w:val="Élőláb Char"/>
    <w:basedOn w:val="Bekezdsalapbettpusa"/>
    <w:link w:val="llb"/>
    <w:rsid w:val="00863021"/>
    <w:rPr>
      <w:rFonts w:ascii="Times New Roman" w:eastAsia="Noto Sans CJK SC Regular" w:hAnsi="Times New Roman" w:cs="Free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9156">
      <w:bodyDiv w:val="1"/>
      <w:marLeft w:val="0"/>
      <w:marRight w:val="0"/>
      <w:marTop w:val="0"/>
      <w:marBottom w:val="0"/>
      <w:divBdr>
        <w:top w:val="none" w:sz="0" w:space="0" w:color="auto"/>
        <w:left w:val="none" w:sz="0" w:space="0" w:color="auto"/>
        <w:bottom w:val="none" w:sz="0" w:space="0" w:color="auto"/>
        <w:right w:val="none" w:sz="0" w:space="0" w:color="auto"/>
      </w:divBdr>
      <w:divsChild>
        <w:div w:id="1693805112">
          <w:marLeft w:val="0"/>
          <w:marRight w:val="0"/>
          <w:marTop w:val="0"/>
          <w:marBottom w:val="0"/>
          <w:divBdr>
            <w:top w:val="none" w:sz="0" w:space="0" w:color="auto"/>
            <w:left w:val="none" w:sz="0" w:space="0" w:color="auto"/>
            <w:bottom w:val="none" w:sz="0" w:space="0" w:color="auto"/>
            <w:right w:val="none" w:sz="0" w:space="0" w:color="auto"/>
          </w:divBdr>
        </w:div>
        <w:div w:id="196239330">
          <w:marLeft w:val="0"/>
          <w:marRight w:val="0"/>
          <w:marTop w:val="0"/>
          <w:marBottom w:val="0"/>
          <w:divBdr>
            <w:top w:val="none" w:sz="0" w:space="0" w:color="auto"/>
            <w:left w:val="none" w:sz="0" w:space="0" w:color="auto"/>
            <w:bottom w:val="none" w:sz="0" w:space="0" w:color="auto"/>
            <w:right w:val="none" w:sz="0" w:space="0" w:color="auto"/>
          </w:divBdr>
        </w:div>
      </w:divsChild>
    </w:div>
    <w:div w:id="413356054">
      <w:bodyDiv w:val="1"/>
      <w:marLeft w:val="0"/>
      <w:marRight w:val="0"/>
      <w:marTop w:val="0"/>
      <w:marBottom w:val="0"/>
      <w:divBdr>
        <w:top w:val="none" w:sz="0" w:space="0" w:color="auto"/>
        <w:left w:val="none" w:sz="0" w:space="0" w:color="auto"/>
        <w:bottom w:val="none" w:sz="0" w:space="0" w:color="auto"/>
        <w:right w:val="none" w:sz="0" w:space="0" w:color="auto"/>
      </w:divBdr>
    </w:div>
    <w:div w:id="476647646">
      <w:bodyDiv w:val="1"/>
      <w:marLeft w:val="0"/>
      <w:marRight w:val="0"/>
      <w:marTop w:val="0"/>
      <w:marBottom w:val="0"/>
      <w:divBdr>
        <w:top w:val="none" w:sz="0" w:space="0" w:color="auto"/>
        <w:left w:val="none" w:sz="0" w:space="0" w:color="auto"/>
        <w:bottom w:val="none" w:sz="0" w:space="0" w:color="auto"/>
        <w:right w:val="none" w:sz="0" w:space="0" w:color="auto"/>
      </w:divBdr>
    </w:div>
    <w:div w:id="696392483">
      <w:bodyDiv w:val="1"/>
      <w:marLeft w:val="0"/>
      <w:marRight w:val="0"/>
      <w:marTop w:val="0"/>
      <w:marBottom w:val="0"/>
      <w:divBdr>
        <w:top w:val="none" w:sz="0" w:space="0" w:color="auto"/>
        <w:left w:val="none" w:sz="0" w:space="0" w:color="auto"/>
        <w:bottom w:val="none" w:sz="0" w:space="0" w:color="auto"/>
        <w:right w:val="none" w:sz="0" w:space="0" w:color="auto"/>
      </w:divBdr>
    </w:div>
    <w:div w:id="1044331500">
      <w:bodyDiv w:val="1"/>
      <w:marLeft w:val="0"/>
      <w:marRight w:val="0"/>
      <w:marTop w:val="0"/>
      <w:marBottom w:val="0"/>
      <w:divBdr>
        <w:top w:val="none" w:sz="0" w:space="0" w:color="auto"/>
        <w:left w:val="none" w:sz="0" w:space="0" w:color="auto"/>
        <w:bottom w:val="none" w:sz="0" w:space="0" w:color="auto"/>
        <w:right w:val="none" w:sz="0" w:space="0" w:color="auto"/>
      </w:divBdr>
      <w:divsChild>
        <w:div w:id="318047074">
          <w:marLeft w:val="0"/>
          <w:marRight w:val="0"/>
          <w:marTop w:val="0"/>
          <w:marBottom w:val="0"/>
          <w:divBdr>
            <w:top w:val="none" w:sz="0" w:space="0" w:color="auto"/>
            <w:left w:val="none" w:sz="0" w:space="0" w:color="auto"/>
            <w:bottom w:val="none" w:sz="0" w:space="0" w:color="auto"/>
            <w:right w:val="none" w:sz="0" w:space="0" w:color="auto"/>
          </w:divBdr>
        </w:div>
        <w:div w:id="1609923367">
          <w:marLeft w:val="0"/>
          <w:marRight w:val="0"/>
          <w:marTop w:val="0"/>
          <w:marBottom w:val="0"/>
          <w:divBdr>
            <w:top w:val="none" w:sz="0" w:space="0" w:color="auto"/>
            <w:left w:val="none" w:sz="0" w:space="0" w:color="auto"/>
            <w:bottom w:val="none" w:sz="0" w:space="0" w:color="auto"/>
            <w:right w:val="none" w:sz="0" w:space="0" w:color="auto"/>
          </w:divBdr>
        </w:div>
      </w:divsChild>
    </w:div>
    <w:div w:id="1388845836">
      <w:bodyDiv w:val="1"/>
      <w:marLeft w:val="0"/>
      <w:marRight w:val="0"/>
      <w:marTop w:val="0"/>
      <w:marBottom w:val="0"/>
      <w:divBdr>
        <w:top w:val="none" w:sz="0" w:space="0" w:color="auto"/>
        <w:left w:val="none" w:sz="0" w:space="0" w:color="auto"/>
        <w:bottom w:val="none" w:sz="0" w:space="0" w:color="auto"/>
        <w:right w:val="none" w:sz="0" w:space="0" w:color="auto"/>
      </w:divBdr>
    </w:div>
    <w:div w:id="1443838336">
      <w:bodyDiv w:val="1"/>
      <w:marLeft w:val="0"/>
      <w:marRight w:val="0"/>
      <w:marTop w:val="0"/>
      <w:marBottom w:val="0"/>
      <w:divBdr>
        <w:top w:val="none" w:sz="0" w:space="0" w:color="auto"/>
        <w:left w:val="none" w:sz="0" w:space="0" w:color="auto"/>
        <w:bottom w:val="none" w:sz="0" w:space="0" w:color="auto"/>
        <w:right w:val="none" w:sz="0" w:space="0" w:color="auto"/>
      </w:divBdr>
    </w:div>
    <w:div w:id="1511749335">
      <w:bodyDiv w:val="1"/>
      <w:marLeft w:val="0"/>
      <w:marRight w:val="0"/>
      <w:marTop w:val="0"/>
      <w:marBottom w:val="0"/>
      <w:divBdr>
        <w:top w:val="none" w:sz="0" w:space="0" w:color="auto"/>
        <w:left w:val="none" w:sz="0" w:space="0" w:color="auto"/>
        <w:bottom w:val="none" w:sz="0" w:space="0" w:color="auto"/>
        <w:right w:val="none" w:sz="0" w:space="0" w:color="auto"/>
      </w:divBdr>
    </w:div>
    <w:div w:id="1743601201">
      <w:bodyDiv w:val="1"/>
      <w:marLeft w:val="0"/>
      <w:marRight w:val="0"/>
      <w:marTop w:val="0"/>
      <w:marBottom w:val="0"/>
      <w:divBdr>
        <w:top w:val="none" w:sz="0" w:space="0" w:color="auto"/>
        <w:left w:val="none" w:sz="0" w:space="0" w:color="auto"/>
        <w:bottom w:val="none" w:sz="0" w:space="0" w:color="auto"/>
        <w:right w:val="none" w:sz="0" w:space="0" w:color="auto"/>
      </w:divBdr>
    </w:div>
    <w:div w:id="1841653338">
      <w:bodyDiv w:val="1"/>
      <w:marLeft w:val="0"/>
      <w:marRight w:val="0"/>
      <w:marTop w:val="0"/>
      <w:marBottom w:val="0"/>
      <w:divBdr>
        <w:top w:val="none" w:sz="0" w:space="0" w:color="auto"/>
        <w:left w:val="none" w:sz="0" w:space="0" w:color="auto"/>
        <w:bottom w:val="none" w:sz="0" w:space="0" w:color="auto"/>
        <w:right w:val="none" w:sz="0" w:space="0" w:color="auto"/>
      </w:divBdr>
    </w:div>
    <w:div w:id="2132623043">
      <w:bodyDiv w:val="1"/>
      <w:marLeft w:val="0"/>
      <w:marRight w:val="0"/>
      <w:marTop w:val="0"/>
      <w:marBottom w:val="0"/>
      <w:divBdr>
        <w:top w:val="none" w:sz="0" w:space="0" w:color="auto"/>
        <w:left w:val="none" w:sz="0" w:space="0" w:color="auto"/>
        <w:bottom w:val="none" w:sz="0" w:space="0" w:color="auto"/>
        <w:right w:val="none" w:sz="0" w:space="0" w:color="auto"/>
      </w:divBdr>
    </w:div>
    <w:div w:id="213752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telki.hu" TargetMode="External"/><Relationship Id="rId4" Type="http://schemas.openxmlformats.org/officeDocument/2006/relationships/settings" Target="settings.xml"/><Relationship Id="rId9" Type="http://schemas.openxmlformats.org/officeDocument/2006/relationships/hyperlink" Target="mailto:hivatal@telki.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C3803-FB7E-46F3-AB9D-E4F01003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8536</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Mónika Lack</dc:creator>
  <cp:keywords/>
  <dc:description/>
  <cp:lastModifiedBy>Felhasználó</cp:lastModifiedBy>
  <cp:revision>2</cp:revision>
  <cp:lastPrinted>2025-11-20T12:38:00Z</cp:lastPrinted>
  <dcterms:created xsi:type="dcterms:W3CDTF">2025-11-20T13:30:00Z</dcterms:created>
  <dcterms:modified xsi:type="dcterms:W3CDTF">2025-11-20T13:30:00Z</dcterms:modified>
</cp:coreProperties>
</file>